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F453D" w14:textId="77777777" w:rsidR="00DF00A9" w:rsidRDefault="00DF00A9" w:rsidP="007C3653">
      <w:pPr>
        <w:pStyle w:val="Heading1"/>
        <w:rPr>
          <w:rFonts w:ascii="Verdana" w:hAnsi="Verdana"/>
          <w:sz w:val="36"/>
          <w:szCs w:val="36"/>
        </w:rPr>
      </w:pPr>
    </w:p>
    <w:p w14:paraId="2FF00110" w14:textId="77777777" w:rsidR="00640639" w:rsidRDefault="00640639" w:rsidP="004E7D5F">
      <w:pPr>
        <w:jc w:val="center"/>
        <w:rPr>
          <w:rFonts w:ascii="Verdana" w:hAnsi="Verdana"/>
          <w:sz w:val="36"/>
          <w:szCs w:val="36"/>
        </w:rPr>
      </w:pPr>
    </w:p>
    <w:p w14:paraId="25659CBA" w14:textId="77777777" w:rsidR="00640639" w:rsidRDefault="00640639" w:rsidP="004E7D5F">
      <w:pPr>
        <w:jc w:val="center"/>
        <w:rPr>
          <w:rFonts w:ascii="Verdana" w:hAnsi="Verdana"/>
          <w:sz w:val="36"/>
          <w:szCs w:val="36"/>
        </w:rPr>
      </w:pPr>
    </w:p>
    <w:p w14:paraId="463A6436" w14:textId="77777777" w:rsidR="00640639" w:rsidRDefault="00640639" w:rsidP="004E7D5F">
      <w:pPr>
        <w:jc w:val="center"/>
        <w:rPr>
          <w:rFonts w:ascii="Verdana" w:hAnsi="Verdana"/>
          <w:sz w:val="36"/>
          <w:szCs w:val="36"/>
        </w:rPr>
      </w:pPr>
    </w:p>
    <w:p w14:paraId="492340E3" w14:textId="77777777" w:rsidR="00640639" w:rsidRPr="00640639" w:rsidRDefault="00640639" w:rsidP="004E7D5F">
      <w:pPr>
        <w:jc w:val="center"/>
        <w:rPr>
          <w:rFonts w:ascii="Verdana" w:hAnsi="Verdana"/>
          <w:sz w:val="36"/>
          <w:szCs w:val="36"/>
        </w:rPr>
      </w:pPr>
      <w:bookmarkStart w:id="0" w:name="_Hlk143624373"/>
      <w:r w:rsidRPr="00640639">
        <w:rPr>
          <w:rFonts w:ascii="Verdana" w:hAnsi="Verdana"/>
          <w:sz w:val="36"/>
          <w:szCs w:val="36"/>
        </w:rPr>
        <w:t xml:space="preserve">Joint Tenancy Strategy </w:t>
      </w:r>
    </w:p>
    <w:p w14:paraId="687D1310" w14:textId="77777777" w:rsidR="00640639" w:rsidRDefault="00640639" w:rsidP="004E7D5F">
      <w:pPr>
        <w:jc w:val="center"/>
        <w:rPr>
          <w:rFonts w:ascii="Verdana" w:hAnsi="Verdana"/>
        </w:rPr>
      </w:pPr>
    </w:p>
    <w:p w14:paraId="21513B69" w14:textId="77777777" w:rsidR="00640639" w:rsidRDefault="00640639" w:rsidP="004E7D5F">
      <w:pPr>
        <w:jc w:val="center"/>
        <w:rPr>
          <w:rFonts w:ascii="Verdana" w:hAnsi="Verdana"/>
        </w:rPr>
      </w:pPr>
    </w:p>
    <w:p w14:paraId="4460E284" w14:textId="77777777" w:rsidR="00640639" w:rsidRDefault="00640639" w:rsidP="004E7D5F">
      <w:pPr>
        <w:jc w:val="center"/>
        <w:rPr>
          <w:rFonts w:ascii="Verdana" w:hAnsi="Verdana"/>
        </w:rPr>
      </w:pPr>
    </w:p>
    <w:p w14:paraId="53DEC4B5" w14:textId="77777777" w:rsidR="00640639" w:rsidRPr="00AF148A" w:rsidRDefault="00640639" w:rsidP="00640639">
      <w:pPr>
        <w:jc w:val="center"/>
        <w:rPr>
          <w:rFonts w:ascii="Verdana" w:hAnsi="Verdana"/>
          <w:sz w:val="32"/>
          <w:szCs w:val="32"/>
        </w:rPr>
      </w:pPr>
      <w:r w:rsidRPr="00AF148A">
        <w:rPr>
          <w:rFonts w:ascii="Verdana" w:hAnsi="Verdana"/>
          <w:sz w:val="32"/>
          <w:szCs w:val="32"/>
        </w:rPr>
        <w:t>North Warwickshire Borough Council</w:t>
      </w:r>
    </w:p>
    <w:p w14:paraId="242D3D08" w14:textId="77777777" w:rsidR="00640639" w:rsidRPr="00AF148A" w:rsidRDefault="00640639" w:rsidP="00640639">
      <w:pPr>
        <w:jc w:val="center"/>
        <w:rPr>
          <w:rFonts w:ascii="Verdana" w:hAnsi="Verdana"/>
          <w:sz w:val="32"/>
          <w:szCs w:val="32"/>
        </w:rPr>
      </w:pPr>
      <w:r w:rsidRPr="00AF148A">
        <w:rPr>
          <w:rFonts w:ascii="Verdana" w:hAnsi="Verdana"/>
          <w:sz w:val="32"/>
          <w:szCs w:val="32"/>
        </w:rPr>
        <w:t>Nuneaton &amp; Bedworth Borough Council</w:t>
      </w:r>
    </w:p>
    <w:p w14:paraId="768B173F" w14:textId="77777777" w:rsidR="00640639" w:rsidRPr="00AF148A" w:rsidRDefault="00640639" w:rsidP="00640639">
      <w:pPr>
        <w:jc w:val="center"/>
        <w:rPr>
          <w:rFonts w:ascii="Verdana" w:hAnsi="Verdana"/>
          <w:sz w:val="32"/>
          <w:szCs w:val="32"/>
        </w:rPr>
      </w:pPr>
      <w:r w:rsidRPr="00AF148A">
        <w:rPr>
          <w:rFonts w:ascii="Verdana" w:hAnsi="Verdana"/>
          <w:sz w:val="32"/>
          <w:szCs w:val="32"/>
        </w:rPr>
        <w:t>Rugby Borough Council</w:t>
      </w:r>
    </w:p>
    <w:p w14:paraId="5107C6B2" w14:textId="77777777" w:rsidR="00640639" w:rsidRPr="00AF148A" w:rsidRDefault="00640639" w:rsidP="00640639">
      <w:pPr>
        <w:jc w:val="center"/>
        <w:rPr>
          <w:rFonts w:ascii="Verdana" w:hAnsi="Verdana"/>
          <w:sz w:val="40"/>
          <w:szCs w:val="40"/>
        </w:rPr>
      </w:pPr>
      <w:r w:rsidRPr="00AF148A">
        <w:rPr>
          <w:rFonts w:ascii="Verdana" w:hAnsi="Verdana"/>
          <w:sz w:val="32"/>
          <w:szCs w:val="32"/>
        </w:rPr>
        <w:t>Warwick District Council</w:t>
      </w:r>
    </w:p>
    <w:bookmarkEnd w:id="0"/>
    <w:p w14:paraId="325E696A" w14:textId="77777777" w:rsidR="00640639" w:rsidRDefault="00640639" w:rsidP="004E7D5F">
      <w:pPr>
        <w:jc w:val="center"/>
        <w:rPr>
          <w:rFonts w:ascii="Verdana" w:hAnsi="Verdana"/>
        </w:rPr>
      </w:pPr>
    </w:p>
    <w:p w14:paraId="6AFEDDAC" w14:textId="77777777" w:rsidR="00640639" w:rsidRDefault="00640639" w:rsidP="004E7D5F">
      <w:pPr>
        <w:jc w:val="center"/>
        <w:rPr>
          <w:rFonts w:ascii="Verdana" w:hAnsi="Verdana"/>
        </w:rPr>
      </w:pPr>
    </w:p>
    <w:p w14:paraId="4E8B0B57" w14:textId="77777777" w:rsidR="00640639" w:rsidRDefault="00640639" w:rsidP="004E7D5F">
      <w:pPr>
        <w:jc w:val="center"/>
        <w:rPr>
          <w:rFonts w:ascii="Verdana" w:hAnsi="Verdana"/>
        </w:rPr>
      </w:pPr>
    </w:p>
    <w:p w14:paraId="473EEC2F" w14:textId="77777777" w:rsidR="00640639" w:rsidRDefault="00640639" w:rsidP="004E7D5F">
      <w:pPr>
        <w:jc w:val="center"/>
        <w:rPr>
          <w:rFonts w:ascii="Verdana" w:hAnsi="Verdana"/>
        </w:rPr>
      </w:pPr>
    </w:p>
    <w:p w14:paraId="53F7B046" w14:textId="77777777" w:rsidR="00640639" w:rsidRDefault="00640639" w:rsidP="004E7D5F">
      <w:pPr>
        <w:jc w:val="center"/>
        <w:rPr>
          <w:rFonts w:ascii="Verdana" w:hAnsi="Verdana"/>
        </w:rPr>
      </w:pPr>
    </w:p>
    <w:p w14:paraId="6032482B" w14:textId="77777777" w:rsidR="00640639" w:rsidRDefault="00640639" w:rsidP="004E7D5F">
      <w:pPr>
        <w:jc w:val="center"/>
        <w:rPr>
          <w:rFonts w:ascii="Verdana" w:hAnsi="Verdana"/>
        </w:rPr>
      </w:pPr>
    </w:p>
    <w:p w14:paraId="04077231" w14:textId="77777777" w:rsidR="00640639" w:rsidRDefault="00640639" w:rsidP="004E7D5F">
      <w:pPr>
        <w:jc w:val="center"/>
        <w:rPr>
          <w:rFonts w:ascii="Verdana" w:hAnsi="Verdana"/>
        </w:rPr>
      </w:pPr>
    </w:p>
    <w:p w14:paraId="2CB469BD" w14:textId="77777777" w:rsidR="00640639" w:rsidRDefault="00640639" w:rsidP="004E7D5F">
      <w:pPr>
        <w:jc w:val="center"/>
        <w:rPr>
          <w:rFonts w:ascii="Verdana" w:hAnsi="Verdana"/>
        </w:rPr>
      </w:pPr>
    </w:p>
    <w:p w14:paraId="20494A62" w14:textId="77777777" w:rsidR="00CC0124" w:rsidRPr="00AF148A" w:rsidRDefault="00CC0124" w:rsidP="004E7D5F">
      <w:pPr>
        <w:jc w:val="center"/>
        <w:rPr>
          <w:rFonts w:ascii="Verdana" w:hAnsi="Verdana"/>
          <w:sz w:val="40"/>
          <w:szCs w:val="40"/>
        </w:rPr>
      </w:pPr>
    </w:p>
    <w:p w14:paraId="36B75975" w14:textId="77777777" w:rsidR="004E7D5F" w:rsidRPr="00AF148A" w:rsidRDefault="004E7D5F" w:rsidP="004E7D5F">
      <w:pPr>
        <w:jc w:val="center"/>
        <w:rPr>
          <w:rFonts w:ascii="Verdana" w:hAnsi="Verdana"/>
          <w:sz w:val="40"/>
          <w:szCs w:val="40"/>
        </w:rPr>
      </w:pPr>
    </w:p>
    <w:p w14:paraId="32EFBEC3" w14:textId="77777777" w:rsidR="004E7D5F" w:rsidRDefault="00383A80" w:rsidP="004E7D5F">
      <w:pPr>
        <w:jc w:val="center"/>
        <w:rPr>
          <w:rFonts w:ascii="Verdana" w:hAnsi="Verdana"/>
        </w:rPr>
      </w:pPr>
      <w:bookmarkStart w:id="1" w:name="_Hlk143624428"/>
      <w:r>
        <w:rPr>
          <w:rFonts w:ascii="Verdana" w:hAnsi="Verdana"/>
          <w:noProof/>
        </w:rPr>
        <w:drawing>
          <wp:inline distT="0" distB="0" distL="0" distR="0" wp14:anchorId="25839867" wp14:editId="447A7891">
            <wp:extent cx="117729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7290" cy="693420"/>
                    </a:xfrm>
                    <a:prstGeom prst="rect">
                      <a:avLst/>
                    </a:prstGeom>
                    <a:noFill/>
                    <a:ln>
                      <a:noFill/>
                    </a:ln>
                  </pic:spPr>
                </pic:pic>
              </a:graphicData>
            </a:graphic>
          </wp:inline>
        </w:drawing>
      </w:r>
      <w:r>
        <w:rPr>
          <w:rFonts w:ascii="Verdana" w:hAnsi="Verdana"/>
          <w:noProof/>
        </w:rPr>
        <w:drawing>
          <wp:inline distT="0" distB="0" distL="0" distR="0" wp14:anchorId="297021A7" wp14:editId="4DC7C860">
            <wp:extent cx="1362710" cy="85471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710" cy="854710"/>
                    </a:xfrm>
                    <a:prstGeom prst="rect">
                      <a:avLst/>
                    </a:prstGeom>
                    <a:noFill/>
                    <a:ln>
                      <a:noFill/>
                    </a:ln>
                  </pic:spPr>
                </pic:pic>
              </a:graphicData>
            </a:graphic>
          </wp:inline>
        </w:drawing>
      </w:r>
      <w:r>
        <w:rPr>
          <w:rFonts w:ascii="Verdana" w:hAnsi="Verdana"/>
          <w:noProof/>
        </w:rPr>
        <w:drawing>
          <wp:inline distT="0" distB="0" distL="0" distR="0" wp14:anchorId="045EFA5F" wp14:editId="4AB7CCC7">
            <wp:extent cx="716915" cy="830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830580"/>
                    </a:xfrm>
                    <a:prstGeom prst="rect">
                      <a:avLst/>
                    </a:prstGeom>
                    <a:noFill/>
                    <a:ln>
                      <a:noFill/>
                    </a:ln>
                  </pic:spPr>
                </pic:pic>
              </a:graphicData>
            </a:graphic>
          </wp:inline>
        </w:drawing>
      </w:r>
      <w:r w:rsidR="00023DD6" w:rsidRPr="00AF148A">
        <w:rPr>
          <w:rFonts w:ascii="Verdana" w:hAnsi="Verdana"/>
        </w:rPr>
        <w:tab/>
      </w:r>
      <w:r>
        <w:rPr>
          <w:rFonts w:ascii="Verdana" w:hAnsi="Verdana"/>
          <w:noProof/>
        </w:rPr>
        <w:drawing>
          <wp:inline distT="0" distB="0" distL="0" distR="0" wp14:anchorId="0837C5F6" wp14:editId="5EB235C6">
            <wp:extent cx="104584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5845" cy="687070"/>
                    </a:xfrm>
                    <a:prstGeom prst="rect">
                      <a:avLst/>
                    </a:prstGeom>
                    <a:noFill/>
                    <a:ln>
                      <a:noFill/>
                    </a:ln>
                  </pic:spPr>
                </pic:pic>
              </a:graphicData>
            </a:graphic>
          </wp:inline>
        </w:drawing>
      </w:r>
    </w:p>
    <w:p w14:paraId="5694EA71" w14:textId="7D442720" w:rsidR="009B745E" w:rsidRPr="00AF148A" w:rsidRDefault="009B745E" w:rsidP="004E7D5F">
      <w:pPr>
        <w:jc w:val="center"/>
        <w:rPr>
          <w:rFonts w:ascii="Verdana" w:hAnsi="Verdana"/>
          <w:sz w:val="40"/>
          <w:szCs w:val="40"/>
        </w:rPr>
      </w:pPr>
      <w:r>
        <w:rPr>
          <w:rFonts w:ascii="Verdana" w:hAnsi="Verdana"/>
        </w:rPr>
        <w:t>(Council logos)</w:t>
      </w:r>
    </w:p>
    <w:p w14:paraId="764A6C24" w14:textId="77777777" w:rsidR="00DF00A9" w:rsidRDefault="00DF00A9" w:rsidP="009B745E">
      <w:pPr>
        <w:rPr>
          <w:rFonts w:ascii="Verdana" w:hAnsi="Verdana"/>
          <w:sz w:val="40"/>
          <w:szCs w:val="40"/>
        </w:rPr>
      </w:pPr>
    </w:p>
    <w:p w14:paraId="20239465" w14:textId="77777777" w:rsidR="00D27FCC" w:rsidRDefault="00D27FCC" w:rsidP="00D27FCC">
      <w:pPr>
        <w:jc w:val="center"/>
        <w:rPr>
          <w: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461"/>
      </w:tblGrid>
      <w:tr w:rsidR="00D27FCC" w:rsidRPr="00363FD0" w14:paraId="52382905" w14:textId="77777777" w:rsidTr="00D27FCC">
        <w:tc>
          <w:tcPr>
            <w:tcW w:w="3379" w:type="dxa"/>
            <w:shd w:val="clear" w:color="auto" w:fill="auto"/>
          </w:tcPr>
          <w:p w14:paraId="1000AF26" w14:textId="77777777" w:rsidR="00D27FCC" w:rsidRPr="00363FD0" w:rsidRDefault="00D27FCC" w:rsidP="00D27FCC">
            <w:pPr>
              <w:rPr>
                <w:rFonts w:ascii="Verdana" w:hAnsi="Verdana"/>
                <w:b/>
                <w:szCs w:val="22"/>
              </w:rPr>
            </w:pPr>
            <w:r w:rsidRPr="00363FD0">
              <w:rPr>
                <w:rFonts w:ascii="Verdana" w:hAnsi="Verdana"/>
                <w:b/>
                <w:szCs w:val="22"/>
              </w:rPr>
              <w:t>Version:</w:t>
            </w:r>
          </w:p>
        </w:tc>
        <w:tc>
          <w:tcPr>
            <w:tcW w:w="3461" w:type="dxa"/>
            <w:shd w:val="clear" w:color="auto" w:fill="auto"/>
          </w:tcPr>
          <w:p w14:paraId="054C1116" w14:textId="3A98968C" w:rsidR="00D27FCC" w:rsidRPr="00363FD0" w:rsidRDefault="00D27FCC" w:rsidP="00BA350A">
            <w:pPr>
              <w:rPr>
                <w:rFonts w:ascii="Verdana" w:hAnsi="Verdana"/>
                <w:szCs w:val="22"/>
              </w:rPr>
            </w:pPr>
            <w:r w:rsidRPr="00363FD0">
              <w:rPr>
                <w:rFonts w:ascii="Verdana" w:hAnsi="Verdana"/>
                <w:szCs w:val="22"/>
              </w:rPr>
              <w:t xml:space="preserve">Version Number </w:t>
            </w:r>
            <w:r w:rsidR="000F4F58" w:rsidRPr="00363FD0">
              <w:rPr>
                <w:rFonts w:ascii="Verdana" w:hAnsi="Verdana"/>
                <w:szCs w:val="22"/>
              </w:rPr>
              <w:t>1</w:t>
            </w:r>
          </w:p>
        </w:tc>
      </w:tr>
      <w:tr w:rsidR="00D27FCC" w:rsidRPr="00363FD0" w14:paraId="0335709F" w14:textId="77777777" w:rsidTr="00D27FCC">
        <w:tc>
          <w:tcPr>
            <w:tcW w:w="3379" w:type="dxa"/>
            <w:shd w:val="clear" w:color="auto" w:fill="auto"/>
          </w:tcPr>
          <w:p w14:paraId="4F8A8F37" w14:textId="77777777" w:rsidR="00D27FCC" w:rsidRPr="00363FD0" w:rsidRDefault="00D27FCC" w:rsidP="00D27FCC">
            <w:pPr>
              <w:rPr>
                <w:rFonts w:ascii="Verdana" w:hAnsi="Verdana"/>
                <w:b/>
                <w:szCs w:val="22"/>
              </w:rPr>
            </w:pPr>
            <w:r w:rsidRPr="00363FD0">
              <w:rPr>
                <w:rFonts w:ascii="Verdana" w:hAnsi="Verdana"/>
                <w:b/>
                <w:szCs w:val="22"/>
              </w:rPr>
              <w:t>Release date:</w:t>
            </w:r>
          </w:p>
        </w:tc>
        <w:tc>
          <w:tcPr>
            <w:tcW w:w="3461" w:type="dxa"/>
            <w:shd w:val="clear" w:color="auto" w:fill="auto"/>
          </w:tcPr>
          <w:p w14:paraId="11A50820" w14:textId="630C6DE9" w:rsidR="00D27FCC" w:rsidRPr="00363FD0" w:rsidRDefault="00DB07E6" w:rsidP="00BA350A">
            <w:pPr>
              <w:rPr>
                <w:rFonts w:ascii="Verdana" w:hAnsi="Verdana"/>
                <w:szCs w:val="22"/>
              </w:rPr>
            </w:pPr>
            <w:r w:rsidRPr="00363FD0">
              <w:rPr>
                <w:rFonts w:ascii="Verdana" w:hAnsi="Verdana"/>
                <w:szCs w:val="22"/>
              </w:rPr>
              <w:t>20</w:t>
            </w:r>
            <w:r w:rsidR="00BA350A" w:rsidRPr="00363FD0">
              <w:rPr>
                <w:rFonts w:ascii="Verdana" w:hAnsi="Verdana"/>
                <w:szCs w:val="22"/>
              </w:rPr>
              <w:t>2</w:t>
            </w:r>
            <w:r w:rsidR="00EF30E9" w:rsidRPr="00363FD0">
              <w:rPr>
                <w:rFonts w:ascii="Verdana" w:hAnsi="Verdana"/>
                <w:szCs w:val="22"/>
              </w:rPr>
              <w:t>5</w:t>
            </w:r>
          </w:p>
        </w:tc>
      </w:tr>
      <w:tr w:rsidR="00D27FCC" w:rsidRPr="00363FD0" w14:paraId="740E6FDC" w14:textId="77777777" w:rsidTr="00D27FCC">
        <w:tc>
          <w:tcPr>
            <w:tcW w:w="3379" w:type="dxa"/>
            <w:shd w:val="clear" w:color="auto" w:fill="auto"/>
          </w:tcPr>
          <w:p w14:paraId="342E31B2" w14:textId="77777777" w:rsidR="00D27FCC" w:rsidRPr="00363FD0" w:rsidRDefault="00D27FCC" w:rsidP="00D27FCC">
            <w:pPr>
              <w:rPr>
                <w:rFonts w:ascii="Verdana" w:hAnsi="Verdana"/>
                <w:b/>
                <w:szCs w:val="22"/>
              </w:rPr>
            </w:pPr>
            <w:r w:rsidRPr="00363FD0">
              <w:rPr>
                <w:rFonts w:ascii="Verdana" w:hAnsi="Verdana"/>
                <w:b/>
                <w:szCs w:val="22"/>
              </w:rPr>
              <w:t>Next Review date:</w:t>
            </w:r>
          </w:p>
        </w:tc>
        <w:tc>
          <w:tcPr>
            <w:tcW w:w="3461" w:type="dxa"/>
            <w:shd w:val="clear" w:color="auto" w:fill="auto"/>
          </w:tcPr>
          <w:p w14:paraId="6B353A67" w14:textId="512D4BFC" w:rsidR="00D27FCC" w:rsidRPr="00363FD0" w:rsidRDefault="00E33DC9" w:rsidP="00D27FCC">
            <w:pPr>
              <w:rPr>
                <w:rFonts w:ascii="Verdana" w:hAnsi="Verdana"/>
                <w:szCs w:val="22"/>
              </w:rPr>
            </w:pPr>
            <w:r w:rsidRPr="00363FD0">
              <w:rPr>
                <w:rFonts w:ascii="Verdana" w:hAnsi="Verdana"/>
                <w:szCs w:val="22"/>
              </w:rPr>
              <w:t>202</w:t>
            </w:r>
            <w:r w:rsidR="007C3653" w:rsidRPr="00363FD0">
              <w:rPr>
                <w:rFonts w:ascii="Verdana" w:hAnsi="Verdana"/>
                <w:szCs w:val="22"/>
              </w:rPr>
              <w:t>6</w:t>
            </w:r>
          </w:p>
        </w:tc>
      </w:tr>
      <w:tr w:rsidR="00D27FCC" w:rsidRPr="00363FD0" w14:paraId="08B06F4E" w14:textId="77777777" w:rsidTr="00D27FCC">
        <w:tc>
          <w:tcPr>
            <w:tcW w:w="3379" w:type="dxa"/>
            <w:shd w:val="clear" w:color="auto" w:fill="auto"/>
          </w:tcPr>
          <w:p w14:paraId="68E6413B" w14:textId="77777777" w:rsidR="00D27FCC" w:rsidRPr="00363FD0" w:rsidRDefault="00D27FCC" w:rsidP="00D27FCC">
            <w:pPr>
              <w:rPr>
                <w:rFonts w:ascii="Verdana" w:hAnsi="Verdana"/>
                <w:b/>
                <w:szCs w:val="22"/>
              </w:rPr>
            </w:pPr>
            <w:r w:rsidRPr="00363FD0">
              <w:rPr>
                <w:rFonts w:ascii="Verdana" w:hAnsi="Verdana"/>
                <w:b/>
                <w:szCs w:val="22"/>
              </w:rPr>
              <w:t>Document type:</w:t>
            </w:r>
          </w:p>
        </w:tc>
        <w:tc>
          <w:tcPr>
            <w:tcW w:w="3461" w:type="dxa"/>
            <w:shd w:val="clear" w:color="auto" w:fill="auto"/>
          </w:tcPr>
          <w:p w14:paraId="64616D71" w14:textId="77777777" w:rsidR="00D27FCC" w:rsidRPr="00363FD0" w:rsidRDefault="00191E30" w:rsidP="00D27FCC">
            <w:pPr>
              <w:rPr>
                <w:rFonts w:ascii="Verdana" w:hAnsi="Verdana"/>
                <w:szCs w:val="22"/>
              </w:rPr>
            </w:pPr>
            <w:r w:rsidRPr="00363FD0">
              <w:rPr>
                <w:rFonts w:ascii="Verdana" w:hAnsi="Verdana"/>
                <w:szCs w:val="22"/>
              </w:rPr>
              <w:t>Strategy</w:t>
            </w:r>
          </w:p>
        </w:tc>
      </w:tr>
      <w:tr w:rsidR="00D27FCC" w:rsidRPr="00363FD0" w14:paraId="7B615958" w14:textId="77777777" w:rsidTr="00D27FCC">
        <w:tc>
          <w:tcPr>
            <w:tcW w:w="3379" w:type="dxa"/>
            <w:shd w:val="clear" w:color="auto" w:fill="auto"/>
          </w:tcPr>
          <w:p w14:paraId="73AAC259" w14:textId="77777777" w:rsidR="00D27FCC" w:rsidRPr="00363FD0" w:rsidRDefault="00D27FCC" w:rsidP="00D27FCC">
            <w:pPr>
              <w:rPr>
                <w:rFonts w:ascii="Verdana" w:hAnsi="Verdana"/>
                <w:b/>
                <w:szCs w:val="22"/>
              </w:rPr>
            </w:pPr>
            <w:r w:rsidRPr="00363FD0">
              <w:rPr>
                <w:rFonts w:ascii="Verdana" w:hAnsi="Verdana"/>
                <w:b/>
                <w:szCs w:val="22"/>
              </w:rPr>
              <w:t>Approved by:</w:t>
            </w:r>
          </w:p>
        </w:tc>
        <w:tc>
          <w:tcPr>
            <w:tcW w:w="3461" w:type="dxa"/>
            <w:shd w:val="clear" w:color="auto" w:fill="auto"/>
          </w:tcPr>
          <w:p w14:paraId="78EEC751" w14:textId="77777777" w:rsidR="00D27FCC" w:rsidRPr="00363FD0" w:rsidRDefault="00191E30" w:rsidP="00D27FCC">
            <w:pPr>
              <w:rPr>
                <w:rFonts w:ascii="Verdana" w:hAnsi="Verdana"/>
                <w:szCs w:val="22"/>
              </w:rPr>
            </w:pPr>
            <w:r w:rsidRPr="00363FD0">
              <w:rPr>
                <w:rFonts w:ascii="Verdana" w:hAnsi="Verdana"/>
                <w:szCs w:val="22"/>
              </w:rPr>
              <w:t>Warwickshire Heads of Housing Group</w:t>
            </w:r>
          </w:p>
        </w:tc>
      </w:tr>
      <w:tr w:rsidR="00D27FCC" w:rsidRPr="00363FD0" w14:paraId="62263496" w14:textId="77777777" w:rsidTr="00D27FCC">
        <w:tc>
          <w:tcPr>
            <w:tcW w:w="3379" w:type="dxa"/>
            <w:shd w:val="clear" w:color="auto" w:fill="auto"/>
          </w:tcPr>
          <w:p w14:paraId="60AD8CF6" w14:textId="77777777" w:rsidR="00D27FCC" w:rsidRPr="00363FD0" w:rsidRDefault="00D27FCC" w:rsidP="00D27FCC">
            <w:pPr>
              <w:rPr>
                <w:rFonts w:ascii="Verdana" w:hAnsi="Verdana"/>
                <w:b/>
                <w:szCs w:val="22"/>
              </w:rPr>
            </w:pPr>
            <w:r w:rsidRPr="00363FD0">
              <w:rPr>
                <w:rFonts w:ascii="Verdana" w:hAnsi="Verdana"/>
                <w:b/>
                <w:szCs w:val="22"/>
              </w:rPr>
              <w:t>EIA Completed</w:t>
            </w:r>
          </w:p>
          <w:p w14:paraId="7D05AD47" w14:textId="77777777" w:rsidR="00D27FCC" w:rsidRPr="00363FD0" w:rsidRDefault="00D27FCC" w:rsidP="00D27FCC">
            <w:pPr>
              <w:rPr>
                <w:rFonts w:ascii="Verdana" w:hAnsi="Verdana"/>
                <w:b/>
                <w:szCs w:val="22"/>
              </w:rPr>
            </w:pPr>
            <w:r w:rsidRPr="00363FD0">
              <w:rPr>
                <w:rFonts w:ascii="Verdana" w:hAnsi="Verdana"/>
                <w:b/>
                <w:szCs w:val="22"/>
              </w:rPr>
              <w:t>(where required):</w:t>
            </w:r>
          </w:p>
        </w:tc>
        <w:tc>
          <w:tcPr>
            <w:tcW w:w="3461" w:type="dxa"/>
            <w:shd w:val="clear" w:color="auto" w:fill="auto"/>
          </w:tcPr>
          <w:p w14:paraId="5DD57CEB" w14:textId="7AF21227" w:rsidR="00D27FCC" w:rsidRPr="00363FD0" w:rsidRDefault="002C133D" w:rsidP="00F76732">
            <w:pPr>
              <w:rPr>
                <w:rFonts w:ascii="Verdana" w:hAnsi="Verdana"/>
                <w:color w:val="auto"/>
                <w:szCs w:val="22"/>
                <w:highlight w:val="yellow"/>
              </w:rPr>
            </w:pPr>
            <w:r w:rsidRPr="00363FD0">
              <w:rPr>
                <w:rFonts w:ascii="Verdana" w:hAnsi="Verdana"/>
                <w:color w:val="auto"/>
              </w:rPr>
              <w:t xml:space="preserve">An Equality Impact Assessment on this policy </w:t>
            </w:r>
            <w:r w:rsidR="00EF30E9" w:rsidRPr="00363FD0">
              <w:rPr>
                <w:rFonts w:ascii="Verdana" w:hAnsi="Verdana"/>
                <w:color w:val="auto"/>
              </w:rPr>
              <w:t>has been</w:t>
            </w:r>
            <w:r w:rsidRPr="00363FD0">
              <w:rPr>
                <w:rFonts w:ascii="Verdana" w:hAnsi="Verdana"/>
                <w:color w:val="auto"/>
              </w:rPr>
              <w:t xml:space="preserve"> undertaken </w:t>
            </w:r>
            <w:r w:rsidR="00EF30E9" w:rsidRPr="00363FD0">
              <w:rPr>
                <w:rFonts w:ascii="Verdana" w:hAnsi="Verdana"/>
                <w:color w:val="auto"/>
              </w:rPr>
              <w:t>by each local authority</w:t>
            </w:r>
          </w:p>
        </w:tc>
      </w:tr>
      <w:tr w:rsidR="003530BB" w:rsidRPr="00363FD0" w14:paraId="2841BCFF" w14:textId="77777777" w:rsidTr="00D27FCC">
        <w:tc>
          <w:tcPr>
            <w:tcW w:w="3379" w:type="dxa"/>
            <w:shd w:val="clear" w:color="auto" w:fill="auto"/>
          </w:tcPr>
          <w:p w14:paraId="6EBC49F0" w14:textId="77777777" w:rsidR="003530BB" w:rsidRPr="00363FD0" w:rsidRDefault="003530BB" w:rsidP="00D27FCC">
            <w:pPr>
              <w:rPr>
                <w:rFonts w:ascii="Verdana" w:hAnsi="Verdana"/>
                <w:b/>
                <w:szCs w:val="22"/>
              </w:rPr>
            </w:pPr>
            <w:r w:rsidRPr="00363FD0">
              <w:rPr>
                <w:rFonts w:ascii="Verdana" w:hAnsi="Verdana"/>
                <w:b/>
                <w:szCs w:val="22"/>
              </w:rPr>
              <w:t>Consultation with Registered Providers</w:t>
            </w:r>
          </w:p>
        </w:tc>
        <w:tc>
          <w:tcPr>
            <w:tcW w:w="3461" w:type="dxa"/>
            <w:shd w:val="clear" w:color="auto" w:fill="auto"/>
          </w:tcPr>
          <w:p w14:paraId="486D6829" w14:textId="4550D152" w:rsidR="003530BB" w:rsidRPr="00363FD0" w:rsidRDefault="00EF30E9" w:rsidP="00D27FCC">
            <w:pPr>
              <w:rPr>
                <w:rFonts w:ascii="Verdana" w:hAnsi="Verdana"/>
                <w:szCs w:val="22"/>
              </w:rPr>
            </w:pPr>
            <w:r w:rsidRPr="00363FD0">
              <w:rPr>
                <w:rFonts w:ascii="Verdana" w:hAnsi="Verdana"/>
                <w:szCs w:val="22"/>
              </w:rPr>
              <w:t>November/December 2024</w:t>
            </w:r>
          </w:p>
        </w:tc>
      </w:tr>
      <w:bookmarkEnd w:id="1"/>
    </w:tbl>
    <w:p w14:paraId="7CFC3CC7" w14:textId="77777777" w:rsidR="00CC0124" w:rsidRPr="00AF148A" w:rsidRDefault="00CC0124" w:rsidP="004E7D5F">
      <w:pPr>
        <w:rPr>
          <w:rFonts w:ascii="Verdana" w:hAnsi="Verdana"/>
          <w:b/>
        </w:rPr>
      </w:pPr>
    </w:p>
    <w:p w14:paraId="73B49CB2" w14:textId="77777777" w:rsidR="00240659" w:rsidRDefault="00640639" w:rsidP="001E4679">
      <w:pPr>
        <w:rPr>
          <w:rFonts w:ascii="Verdana" w:hAnsi="Verdana"/>
          <w:b/>
        </w:rPr>
      </w:pPr>
      <w:r>
        <w:rPr>
          <w:rFonts w:ascii="Verdana" w:hAnsi="Verdana"/>
          <w:b/>
        </w:rPr>
        <w:lastRenderedPageBreak/>
        <w:br w:type="page"/>
      </w:r>
    </w:p>
    <w:p w14:paraId="72EC42FC" w14:textId="77777777" w:rsidR="00240659" w:rsidRDefault="00240659" w:rsidP="001E4679">
      <w:pPr>
        <w:rPr>
          <w:rFonts w:ascii="Verdana" w:hAnsi="Verdana"/>
          <w:b/>
        </w:rPr>
      </w:pPr>
    </w:p>
    <w:p w14:paraId="1908E05B" w14:textId="77777777" w:rsidR="001E4679" w:rsidRDefault="001E4679" w:rsidP="001E4679">
      <w:pPr>
        <w:rPr>
          <w:rFonts w:ascii="Verdana" w:hAnsi="Verdana"/>
          <w:b/>
          <w:sz w:val="28"/>
          <w:szCs w:val="28"/>
        </w:rPr>
      </w:pPr>
      <w:bookmarkStart w:id="2" w:name="_Hlk143624511"/>
      <w:r w:rsidRPr="0073548E">
        <w:rPr>
          <w:rFonts w:ascii="Verdana" w:hAnsi="Verdana"/>
          <w:b/>
          <w:sz w:val="28"/>
          <w:szCs w:val="28"/>
        </w:rPr>
        <w:t>Key definitions</w:t>
      </w:r>
    </w:p>
    <w:p w14:paraId="05D2C83C" w14:textId="77777777" w:rsidR="00363FD0" w:rsidRPr="0073548E" w:rsidRDefault="00363FD0" w:rsidP="001E4679">
      <w:pPr>
        <w:rPr>
          <w:rFonts w:ascii="Verdana" w:hAnsi="Verdana"/>
          <w:b/>
          <w:sz w:val="28"/>
          <w:szCs w:val="28"/>
        </w:rPr>
      </w:pPr>
    </w:p>
    <w:p w14:paraId="0493B437" w14:textId="77777777" w:rsidR="00240659" w:rsidRPr="00240659" w:rsidRDefault="00240659" w:rsidP="001E4679">
      <w:pPr>
        <w:rPr>
          <w:rFonts w:ascii="Verdana" w:hAnsi="Verdana"/>
        </w:rPr>
      </w:pPr>
      <w:r w:rsidRPr="00240659">
        <w:rPr>
          <w:rFonts w:ascii="Verdana" w:hAnsi="Verdana"/>
        </w:rPr>
        <w:t>To avoid excessive repetition</w:t>
      </w:r>
      <w:r>
        <w:rPr>
          <w:rFonts w:ascii="Verdana" w:hAnsi="Verdana"/>
        </w:rPr>
        <w:t>,</w:t>
      </w:r>
      <w:r w:rsidRPr="00240659">
        <w:rPr>
          <w:rFonts w:ascii="Verdana" w:hAnsi="Verdana"/>
        </w:rPr>
        <w:t xml:space="preserve"> </w:t>
      </w:r>
      <w:r>
        <w:rPr>
          <w:rFonts w:ascii="Verdana" w:hAnsi="Verdana"/>
        </w:rPr>
        <w:t xml:space="preserve">the following abbreviated terms are defined at the appropriate point in this document and then used from that point forward. They are </w:t>
      </w:r>
      <w:proofErr w:type="gramStart"/>
      <w:r>
        <w:rPr>
          <w:rFonts w:ascii="Verdana" w:hAnsi="Verdana"/>
        </w:rPr>
        <w:t>collected together</w:t>
      </w:r>
      <w:proofErr w:type="gramEnd"/>
      <w:r>
        <w:rPr>
          <w:rFonts w:ascii="Verdana" w:hAnsi="Verdana"/>
        </w:rPr>
        <w:t xml:space="preserve"> here for convenience and ease of reference for the reader.</w:t>
      </w:r>
    </w:p>
    <w:p w14:paraId="31755B74" w14:textId="77777777" w:rsidR="00240659" w:rsidRDefault="00240659" w:rsidP="001E4679">
      <w:pPr>
        <w:rPr>
          <w:rFonts w:ascii="Verdana" w:hAnsi="Verdana"/>
          <w:b/>
        </w:rPr>
      </w:pPr>
    </w:p>
    <w:tbl>
      <w:tblPr>
        <w:tblStyle w:val="TableGrid"/>
        <w:tblW w:w="0" w:type="auto"/>
        <w:tblLook w:val="04A0" w:firstRow="1" w:lastRow="0" w:firstColumn="1" w:lastColumn="0" w:noHBand="0" w:noVBand="1"/>
      </w:tblPr>
      <w:tblGrid>
        <w:gridCol w:w="3714"/>
        <w:gridCol w:w="6198"/>
      </w:tblGrid>
      <w:tr w:rsidR="00153CE6" w:rsidRPr="00BA350A" w14:paraId="6B835F2E" w14:textId="77777777" w:rsidTr="004101B1">
        <w:tc>
          <w:tcPr>
            <w:tcW w:w="3714" w:type="dxa"/>
          </w:tcPr>
          <w:p w14:paraId="7E4230D4" w14:textId="77777777" w:rsidR="00BA350A" w:rsidRPr="00BA350A" w:rsidRDefault="00BA350A" w:rsidP="00BA350A">
            <w:pPr>
              <w:jc w:val="center"/>
              <w:rPr>
                <w:rFonts w:ascii="Verdana" w:hAnsi="Verdana"/>
                <w:b/>
              </w:rPr>
            </w:pPr>
            <w:r w:rsidRPr="00BA350A">
              <w:rPr>
                <w:rFonts w:ascii="Verdana" w:hAnsi="Verdana"/>
                <w:b/>
              </w:rPr>
              <w:t>Defined term</w:t>
            </w:r>
          </w:p>
        </w:tc>
        <w:tc>
          <w:tcPr>
            <w:tcW w:w="6198" w:type="dxa"/>
          </w:tcPr>
          <w:p w14:paraId="4C581DFD" w14:textId="77777777" w:rsidR="00BA350A" w:rsidRPr="00BA350A" w:rsidRDefault="00BA350A" w:rsidP="00BA350A">
            <w:pPr>
              <w:jc w:val="center"/>
              <w:rPr>
                <w:rFonts w:ascii="Verdana" w:hAnsi="Verdana"/>
                <w:b/>
              </w:rPr>
            </w:pPr>
            <w:r w:rsidRPr="00BA350A">
              <w:rPr>
                <w:rFonts w:ascii="Verdana" w:hAnsi="Verdana"/>
                <w:b/>
              </w:rPr>
              <w:t>Definition</w:t>
            </w:r>
          </w:p>
        </w:tc>
      </w:tr>
      <w:tr w:rsidR="00153CE6" w14:paraId="7148CD3A" w14:textId="77777777" w:rsidTr="004101B1">
        <w:tc>
          <w:tcPr>
            <w:tcW w:w="3714" w:type="dxa"/>
          </w:tcPr>
          <w:p w14:paraId="29E7539C" w14:textId="4567AD6B" w:rsidR="0073548E" w:rsidRPr="00BA350A" w:rsidRDefault="00EF30E9" w:rsidP="00583667">
            <w:pPr>
              <w:rPr>
                <w:rFonts w:ascii="Verdana" w:hAnsi="Verdana"/>
                <w:b/>
              </w:rPr>
            </w:pPr>
            <w:r>
              <w:rPr>
                <w:rFonts w:ascii="Verdana" w:hAnsi="Verdana"/>
              </w:rPr>
              <w:t xml:space="preserve">The </w:t>
            </w:r>
            <w:r w:rsidR="0073548E" w:rsidRPr="00BA350A">
              <w:rPr>
                <w:rFonts w:ascii="Verdana" w:hAnsi="Verdana"/>
              </w:rPr>
              <w:t>Act</w:t>
            </w:r>
          </w:p>
        </w:tc>
        <w:tc>
          <w:tcPr>
            <w:tcW w:w="6198" w:type="dxa"/>
          </w:tcPr>
          <w:p w14:paraId="2A7F50BB" w14:textId="3CA9D72C" w:rsidR="0073548E" w:rsidRPr="00BA350A" w:rsidRDefault="00EF30E9" w:rsidP="00583667">
            <w:pPr>
              <w:rPr>
                <w:rFonts w:ascii="Verdana" w:hAnsi="Verdana"/>
              </w:rPr>
            </w:pPr>
            <w:r>
              <w:rPr>
                <w:rFonts w:ascii="Verdana" w:hAnsi="Verdana"/>
              </w:rPr>
              <w:t>T</w:t>
            </w:r>
            <w:r w:rsidR="0073548E" w:rsidRPr="00BA350A">
              <w:rPr>
                <w:rFonts w:ascii="Verdana" w:hAnsi="Verdana"/>
              </w:rPr>
              <w:t>he Localism Act 2011</w:t>
            </w:r>
          </w:p>
        </w:tc>
      </w:tr>
      <w:tr w:rsidR="000311EB" w14:paraId="43C49C4B" w14:textId="77777777" w:rsidTr="00A112C2">
        <w:tc>
          <w:tcPr>
            <w:tcW w:w="3714" w:type="dxa"/>
            <w:shd w:val="clear" w:color="auto" w:fill="auto"/>
          </w:tcPr>
          <w:p w14:paraId="39B67A96" w14:textId="0557673C" w:rsidR="000311EB" w:rsidRPr="00A112C2" w:rsidDel="000311EB" w:rsidRDefault="000311EB" w:rsidP="00583667">
            <w:pPr>
              <w:rPr>
                <w:rFonts w:ascii="Verdana" w:hAnsi="Verdana"/>
                <w:color w:val="auto"/>
              </w:rPr>
            </w:pPr>
            <w:r w:rsidRPr="00A112C2">
              <w:rPr>
                <w:rFonts w:ascii="Verdana" w:hAnsi="Verdana"/>
                <w:color w:val="auto"/>
              </w:rPr>
              <w:t>Affordable Rent</w:t>
            </w:r>
          </w:p>
        </w:tc>
        <w:tc>
          <w:tcPr>
            <w:tcW w:w="6198" w:type="dxa"/>
            <w:shd w:val="clear" w:color="auto" w:fill="auto"/>
          </w:tcPr>
          <w:p w14:paraId="2889A67C" w14:textId="0C6F751E" w:rsidR="000311EB" w:rsidRPr="0004650D" w:rsidRDefault="00EF30E9" w:rsidP="00583667">
            <w:pPr>
              <w:rPr>
                <w:rFonts w:ascii="Verdana" w:hAnsi="Verdana"/>
              </w:rPr>
            </w:pPr>
            <w:r w:rsidRPr="00A112C2">
              <w:rPr>
                <w:rFonts w:ascii="Verdana" w:hAnsi="Verdana"/>
                <w:color w:val="0B0C0C"/>
                <w:shd w:val="clear" w:color="auto" w:fill="FFFFFF"/>
              </w:rPr>
              <w:t>Homes let at least 20% below local market rents</w:t>
            </w:r>
          </w:p>
        </w:tc>
      </w:tr>
      <w:tr w:rsidR="004A157C" w14:paraId="58EC4852" w14:textId="77777777" w:rsidTr="00A112C2">
        <w:tc>
          <w:tcPr>
            <w:tcW w:w="3714" w:type="dxa"/>
            <w:shd w:val="clear" w:color="auto" w:fill="auto"/>
          </w:tcPr>
          <w:p w14:paraId="575E8354" w14:textId="32103A2E" w:rsidR="004A157C" w:rsidRPr="00BA350A" w:rsidDel="000311EB" w:rsidRDefault="004A157C" w:rsidP="001E4679">
            <w:pPr>
              <w:rPr>
                <w:rFonts w:ascii="Verdana" w:hAnsi="Verdana"/>
              </w:rPr>
            </w:pPr>
            <w:r>
              <w:rPr>
                <w:rFonts w:ascii="Verdana" w:hAnsi="Verdana"/>
              </w:rPr>
              <w:t>Assured</w:t>
            </w:r>
            <w:r w:rsidR="00B3207C">
              <w:rPr>
                <w:rFonts w:ascii="Verdana" w:hAnsi="Verdana"/>
              </w:rPr>
              <w:t xml:space="preserve"> Periodic Tenancy</w:t>
            </w:r>
          </w:p>
        </w:tc>
        <w:tc>
          <w:tcPr>
            <w:tcW w:w="6198" w:type="dxa"/>
            <w:shd w:val="clear" w:color="auto" w:fill="auto"/>
          </w:tcPr>
          <w:p w14:paraId="5FE114EA" w14:textId="13A0DDB4" w:rsidR="004A157C" w:rsidRDefault="00BE079E" w:rsidP="001E4679">
            <w:pPr>
              <w:rPr>
                <w:rFonts w:ascii="Verdana" w:hAnsi="Verdana"/>
              </w:rPr>
            </w:pPr>
            <w:r>
              <w:rPr>
                <w:rFonts w:ascii="Verdana" w:hAnsi="Verdana"/>
              </w:rPr>
              <w:t>An assured tenancy with a fixed term</w:t>
            </w:r>
          </w:p>
        </w:tc>
      </w:tr>
      <w:tr w:rsidR="00153CE6" w14:paraId="4B5C39E5" w14:textId="77777777" w:rsidTr="004101B1">
        <w:tc>
          <w:tcPr>
            <w:tcW w:w="3714" w:type="dxa"/>
          </w:tcPr>
          <w:p w14:paraId="10F62C39" w14:textId="2E5B1AD3" w:rsidR="00BA350A" w:rsidRPr="00BA350A" w:rsidRDefault="00BA350A" w:rsidP="001E4679">
            <w:pPr>
              <w:rPr>
                <w:rFonts w:ascii="Verdana" w:hAnsi="Verdana"/>
                <w:b/>
              </w:rPr>
            </w:pPr>
            <w:r w:rsidRPr="00BA350A">
              <w:rPr>
                <w:rFonts w:ascii="Verdana" w:hAnsi="Verdana"/>
              </w:rPr>
              <w:t>Councils</w:t>
            </w:r>
          </w:p>
        </w:tc>
        <w:tc>
          <w:tcPr>
            <w:tcW w:w="6198" w:type="dxa"/>
          </w:tcPr>
          <w:p w14:paraId="4F0B4DD0" w14:textId="3614D5E6" w:rsidR="00BA350A" w:rsidRDefault="00A112C2" w:rsidP="001E4679">
            <w:pPr>
              <w:rPr>
                <w:rFonts w:ascii="Verdana" w:hAnsi="Verdana"/>
              </w:rPr>
            </w:pPr>
            <w:r>
              <w:rPr>
                <w:rFonts w:ascii="Verdana" w:hAnsi="Verdana"/>
              </w:rPr>
              <w:t>Th</w:t>
            </w:r>
            <w:r w:rsidR="00BA350A" w:rsidRPr="00BA350A">
              <w:rPr>
                <w:rFonts w:ascii="Verdana" w:hAnsi="Verdana"/>
              </w:rPr>
              <w:t xml:space="preserve">e </w:t>
            </w:r>
            <w:r w:rsidR="00BA350A">
              <w:rPr>
                <w:rFonts w:ascii="Verdana" w:hAnsi="Verdana"/>
              </w:rPr>
              <w:t xml:space="preserve">four local </w:t>
            </w:r>
            <w:r w:rsidR="00153CE6">
              <w:rPr>
                <w:rFonts w:ascii="Verdana" w:hAnsi="Verdana"/>
              </w:rPr>
              <w:t xml:space="preserve">housing </w:t>
            </w:r>
            <w:r w:rsidR="00BA350A">
              <w:rPr>
                <w:rFonts w:ascii="Verdana" w:hAnsi="Verdana"/>
              </w:rPr>
              <w:t>authorities that are signator</w:t>
            </w:r>
            <w:r w:rsidR="00FE0568">
              <w:rPr>
                <w:rFonts w:ascii="Verdana" w:hAnsi="Verdana"/>
              </w:rPr>
              <w:t>ies</w:t>
            </w:r>
            <w:r w:rsidR="00BA350A">
              <w:rPr>
                <w:rFonts w:ascii="Verdana" w:hAnsi="Verdana"/>
              </w:rPr>
              <w:t xml:space="preserve"> to this strategy</w:t>
            </w:r>
            <w:r w:rsidR="00363FD0">
              <w:rPr>
                <w:rFonts w:ascii="Verdana" w:hAnsi="Verdana"/>
              </w:rPr>
              <w:t xml:space="preserve"> are:</w:t>
            </w:r>
          </w:p>
          <w:p w14:paraId="7FB50CDC" w14:textId="0D014972" w:rsidR="00102337" w:rsidRDefault="00BA350A" w:rsidP="00BA350A">
            <w:pPr>
              <w:rPr>
                <w:rFonts w:ascii="Verdana" w:hAnsi="Verdana"/>
              </w:rPr>
            </w:pPr>
            <w:r w:rsidRPr="00BA350A">
              <w:rPr>
                <w:rFonts w:ascii="Verdana" w:hAnsi="Verdana"/>
              </w:rPr>
              <w:t>North Warwickshire Borough Council</w:t>
            </w:r>
            <w:r w:rsidR="00363FD0">
              <w:rPr>
                <w:rFonts w:ascii="Verdana" w:hAnsi="Verdana"/>
              </w:rPr>
              <w:t>,</w:t>
            </w:r>
          </w:p>
          <w:p w14:paraId="5FBB4E21" w14:textId="592766F1" w:rsidR="00BA350A" w:rsidRDefault="00BA350A" w:rsidP="00BA350A">
            <w:pPr>
              <w:rPr>
                <w:rFonts w:ascii="Verdana" w:hAnsi="Verdana"/>
              </w:rPr>
            </w:pPr>
            <w:r w:rsidRPr="00BA350A">
              <w:rPr>
                <w:rFonts w:ascii="Verdana" w:hAnsi="Verdana"/>
              </w:rPr>
              <w:t>Nuneaton and Bedworth Borough Council</w:t>
            </w:r>
            <w:r w:rsidR="00363FD0">
              <w:rPr>
                <w:rFonts w:ascii="Verdana" w:hAnsi="Verdana"/>
              </w:rPr>
              <w:t>,</w:t>
            </w:r>
          </w:p>
          <w:p w14:paraId="2FB12BB8" w14:textId="713269E1" w:rsidR="00BA350A" w:rsidRDefault="00BA350A" w:rsidP="00BA350A">
            <w:pPr>
              <w:rPr>
                <w:rFonts w:ascii="Verdana" w:hAnsi="Verdana"/>
              </w:rPr>
            </w:pPr>
            <w:r w:rsidRPr="00BA350A">
              <w:rPr>
                <w:rFonts w:ascii="Verdana" w:hAnsi="Verdana"/>
              </w:rPr>
              <w:t>Rugby Borough Council</w:t>
            </w:r>
            <w:r w:rsidR="00363FD0">
              <w:rPr>
                <w:rFonts w:ascii="Verdana" w:hAnsi="Verdana"/>
              </w:rPr>
              <w:t xml:space="preserve"> and</w:t>
            </w:r>
          </w:p>
          <w:p w14:paraId="3AE7029E" w14:textId="77777777" w:rsidR="00BA350A" w:rsidRPr="00BA350A" w:rsidRDefault="00BA350A" w:rsidP="00BA350A">
            <w:pPr>
              <w:rPr>
                <w:rFonts w:ascii="Verdana" w:hAnsi="Verdana"/>
              </w:rPr>
            </w:pPr>
            <w:r w:rsidRPr="00BA350A">
              <w:rPr>
                <w:rFonts w:ascii="Verdana" w:hAnsi="Verdana"/>
              </w:rPr>
              <w:t>Warwick District Council</w:t>
            </w:r>
            <w:r w:rsidR="0073548E">
              <w:rPr>
                <w:rFonts w:ascii="Verdana" w:hAnsi="Verdana"/>
              </w:rPr>
              <w:t>.</w:t>
            </w:r>
          </w:p>
        </w:tc>
      </w:tr>
      <w:tr w:rsidR="00153CE6" w14:paraId="400275EC" w14:textId="77777777" w:rsidTr="004101B1">
        <w:tc>
          <w:tcPr>
            <w:tcW w:w="3714" w:type="dxa"/>
          </w:tcPr>
          <w:p w14:paraId="2C25DF82" w14:textId="77777777" w:rsidR="00BA350A" w:rsidRPr="00BA350A" w:rsidRDefault="00BA350A" w:rsidP="001E4679">
            <w:pPr>
              <w:rPr>
                <w:rFonts w:ascii="Verdana" w:hAnsi="Verdana"/>
                <w:b/>
              </w:rPr>
            </w:pPr>
            <w:r w:rsidRPr="00BA350A">
              <w:rPr>
                <w:rFonts w:ascii="Verdana" w:hAnsi="Verdana"/>
              </w:rPr>
              <w:t>Designated Area</w:t>
            </w:r>
          </w:p>
        </w:tc>
        <w:tc>
          <w:tcPr>
            <w:tcW w:w="6198" w:type="dxa"/>
          </w:tcPr>
          <w:p w14:paraId="43FC457C" w14:textId="723164FD" w:rsidR="00BA350A" w:rsidRDefault="00A112C2" w:rsidP="00BA350A">
            <w:pPr>
              <w:rPr>
                <w:rFonts w:ascii="Verdana" w:hAnsi="Verdana"/>
                <w:b/>
              </w:rPr>
            </w:pPr>
            <w:r>
              <w:rPr>
                <w:rFonts w:ascii="Verdana" w:hAnsi="Verdana"/>
              </w:rPr>
              <w:t>T</w:t>
            </w:r>
            <w:r w:rsidR="00BA350A" w:rsidRPr="00BA350A">
              <w:rPr>
                <w:rFonts w:ascii="Verdana" w:hAnsi="Verdana"/>
              </w:rPr>
              <w:t xml:space="preserve">he geographic area covered by the Councils </w:t>
            </w:r>
            <w:r w:rsidR="00616B06">
              <w:rPr>
                <w:rFonts w:ascii="Verdana" w:hAnsi="Verdana"/>
              </w:rPr>
              <w:t xml:space="preserve">as </w:t>
            </w:r>
            <w:r w:rsidR="00BA350A" w:rsidRPr="00BA350A">
              <w:rPr>
                <w:rFonts w:ascii="Verdana" w:hAnsi="Verdana"/>
              </w:rPr>
              <w:t xml:space="preserve">shown </w:t>
            </w:r>
            <w:r w:rsidR="00616B06">
              <w:rPr>
                <w:rFonts w:ascii="Verdana" w:hAnsi="Verdana"/>
              </w:rPr>
              <w:t>on the map at A</w:t>
            </w:r>
            <w:r w:rsidR="00BA350A" w:rsidRPr="00BA350A">
              <w:rPr>
                <w:rFonts w:ascii="Verdana" w:hAnsi="Verdana"/>
              </w:rPr>
              <w:t xml:space="preserve">ppendix </w:t>
            </w:r>
            <w:r w:rsidR="00616B06">
              <w:rPr>
                <w:rFonts w:ascii="Verdana" w:hAnsi="Verdana"/>
              </w:rPr>
              <w:t>O</w:t>
            </w:r>
            <w:r w:rsidR="00BA350A" w:rsidRPr="00BA350A">
              <w:rPr>
                <w:rFonts w:ascii="Verdana" w:hAnsi="Verdana"/>
              </w:rPr>
              <w:t>ne.</w:t>
            </w:r>
          </w:p>
        </w:tc>
      </w:tr>
      <w:tr w:rsidR="004A157C" w14:paraId="425A0CC9" w14:textId="77777777" w:rsidTr="004101B1">
        <w:tc>
          <w:tcPr>
            <w:tcW w:w="3714" w:type="dxa"/>
          </w:tcPr>
          <w:p w14:paraId="17CAD5E3" w14:textId="04514505" w:rsidR="004A157C" w:rsidRPr="00BA350A" w:rsidRDefault="004A157C" w:rsidP="00583667">
            <w:pPr>
              <w:rPr>
                <w:rFonts w:ascii="Verdana" w:hAnsi="Verdana"/>
              </w:rPr>
            </w:pPr>
            <w:r>
              <w:rPr>
                <w:rFonts w:ascii="Verdana" w:hAnsi="Verdana"/>
              </w:rPr>
              <w:t>Fixed Term Assured Shorthold Tenancy</w:t>
            </w:r>
          </w:p>
        </w:tc>
        <w:tc>
          <w:tcPr>
            <w:tcW w:w="6198" w:type="dxa"/>
          </w:tcPr>
          <w:p w14:paraId="5B7C15B8" w14:textId="2E96D9A9" w:rsidR="004A157C" w:rsidRDefault="00BE079E" w:rsidP="00583667">
            <w:pPr>
              <w:rPr>
                <w:rFonts w:ascii="Verdana" w:hAnsi="Verdana"/>
              </w:rPr>
            </w:pPr>
            <w:r>
              <w:rPr>
                <w:rFonts w:ascii="Verdana" w:hAnsi="Verdana"/>
              </w:rPr>
              <w:t>An assured tenancy with a fixed term.</w:t>
            </w:r>
          </w:p>
        </w:tc>
      </w:tr>
      <w:tr w:rsidR="00153CE6" w14:paraId="5F966810" w14:textId="77777777" w:rsidTr="004101B1">
        <w:tc>
          <w:tcPr>
            <w:tcW w:w="3714" w:type="dxa"/>
          </w:tcPr>
          <w:p w14:paraId="3972AA56" w14:textId="77777777" w:rsidR="0073548E" w:rsidRPr="00BA350A" w:rsidRDefault="0073548E" w:rsidP="00583667">
            <w:pPr>
              <w:rPr>
                <w:rFonts w:ascii="Verdana" w:hAnsi="Verdana"/>
                <w:b/>
              </w:rPr>
            </w:pPr>
            <w:r w:rsidRPr="00BA350A">
              <w:rPr>
                <w:rFonts w:ascii="Verdana" w:hAnsi="Verdana"/>
              </w:rPr>
              <w:t>Fixed-Term Tenancies</w:t>
            </w:r>
          </w:p>
        </w:tc>
        <w:tc>
          <w:tcPr>
            <w:tcW w:w="6198" w:type="dxa"/>
          </w:tcPr>
          <w:p w14:paraId="7EFD89A5" w14:textId="4A648D18" w:rsidR="0073548E" w:rsidRPr="00BA350A" w:rsidRDefault="00A112C2" w:rsidP="00583667">
            <w:pPr>
              <w:rPr>
                <w:rFonts w:ascii="Verdana" w:hAnsi="Verdana"/>
                <w:b/>
              </w:rPr>
            </w:pPr>
            <w:r>
              <w:rPr>
                <w:rFonts w:ascii="Verdana" w:hAnsi="Verdana"/>
              </w:rPr>
              <w:t>C</w:t>
            </w:r>
            <w:r w:rsidR="00754511">
              <w:rPr>
                <w:rFonts w:ascii="Verdana" w:hAnsi="Verdana"/>
              </w:rPr>
              <w:t xml:space="preserve">ollectively </w:t>
            </w:r>
            <w:r w:rsidR="0073548E" w:rsidRPr="00BA350A">
              <w:rPr>
                <w:rFonts w:ascii="Verdana" w:hAnsi="Verdana"/>
              </w:rPr>
              <w:t>Flexible Tenancies and Fixed-Term Assured Shorthold Tenancies</w:t>
            </w:r>
            <w:r w:rsidR="00754511">
              <w:rPr>
                <w:rFonts w:ascii="Verdana" w:hAnsi="Verdana"/>
              </w:rPr>
              <w:t>.</w:t>
            </w:r>
          </w:p>
        </w:tc>
      </w:tr>
      <w:tr w:rsidR="00C64760" w14:paraId="06A5C646" w14:textId="77777777" w:rsidTr="004101B1">
        <w:tc>
          <w:tcPr>
            <w:tcW w:w="3714" w:type="dxa"/>
          </w:tcPr>
          <w:p w14:paraId="77736646" w14:textId="2400AAF6" w:rsidR="00C64760" w:rsidRPr="00BA350A" w:rsidRDefault="00C64760" w:rsidP="00583667">
            <w:pPr>
              <w:rPr>
                <w:rFonts w:ascii="Verdana" w:hAnsi="Verdana"/>
              </w:rPr>
            </w:pPr>
            <w:r>
              <w:rPr>
                <w:rFonts w:ascii="Verdana" w:hAnsi="Verdana"/>
              </w:rPr>
              <w:t>Flexible Tenancy</w:t>
            </w:r>
          </w:p>
        </w:tc>
        <w:tc>
          <w:tcPr>
            <w:tcW w:w="6198" w:type="dxa"/>
          </w:tcPr>
          <w:p w14:paraId="212795AD" w14:textId="535D203E" w:rsidR="00C64760" w:rsidRPr="00BE079E" w:rsidRDefault="00BE079E" w:rsidP="00583667">
            <w:pPr>
              <w:rPr>
                <w:rFonts w:ascii="Verdana" w:hAnsi="Verdana"/>
              </w:rPr>
            </w:pPr>
            <w:r>
              <w:rPr>
                <w:rFonts w:ascii="Verdana" w:hAnsi="Verdana"/>
                <w:color w:val="0B0C0C"/>
                <w:shd w:val="clear" w:color="auto" w:fill="FFFFFF"/>
              </w:rPr>
              <w:t xml:space="preserve">A </w:t>
            </w:r>
            <w:r w:rsidRPr="00BE079E">
              <w:rPr>
                <w:rFonts w:ascii="Verdana" w:hAnsi="Verdana"/>
                <w:color w:val="0B0C0C"/>
                <w:shd w:val="clear" w:color="auto" w:fill="FFFFFF"/>
              </w:rPr>
              <w:t>tenancy for a fixed perio</w:t>
            </w:r>
            <w:r>
              <w:rPr>
                <w:rFonts w:ascii="Verdana" w:hAnsi="Verdana"/>
                <w:color w:val="0B0C0C"/>
                <w:shd w:val="clear" w:color="auto" w:fill="FFFFFF"/>
              </w:rPr>
              <w:t xml:space="preserve">d, </w:t>
            </w:r>
            <w:r w:rsidRPr="00BE079E">
              <w:rPr>
                <w:rFonts w:ascii="Verdana" w:hAnsi="Verdana"/>
                <w:color w:val="0B0C0C"/>
                <w:shd w:val="clear" w:color="auto" w:fill="FFFFFF"/>
              </w:rPr>
              <w:t xml:space="preserve">usually for least 5 years, </w:t>
            </w:r>
            <w:r>
              <w:rPr>
                <w:rFonts w:ascii="Verdana" w:hAnsi="Verdana"/>
                <w:color w:val="0B0C0C"/>
                <w:shd w:val="clear" w:color="auto" w:fill="FFFFFF"/>
              </w:rPr>
              <w:t>and</w:t>
            </w:r>
            <w:r w:rsidRPr="00BE079E">
              <w:rPr>
                <w:rFonts w:ascii="Verdana" w:hAnsi="Verdana"/>
                <w:color w:val="0B0C0C"/>
                <w:shd w:val="clear" w:color="auto" w:fill="FFFFFF"/>
              </w:rPr>
              <w:t xml:space="preserve"> in some </w:t>
            </w:r>
            <w:r w:rsidR="00363FD0" w:rsidRPr="00BE079E">
              <w:rPr>
                <w:rFonts w:ascii="Verdana" w:hAnsi="Verdana"/>
                <w:color w:val="0B0C0C"/>
                <w:shd w:val="clear" w:color="auto" w:fill="FFFFFF"/>
              </w:rPr>
              <w:t>cases,</w:t>
            </w:r>
            <w:r w:rsidRPr="00BE079E">
              <w:rPr>
                <w:rFonts w:ascii="Verdana" w:hAnsi="Verdana"/>
                <w:color w:val="0B0C0C"/>
                <w:shd w:val="clear" w:color="auto" w:fill="FFFFFF"/>
              </w:rPr>
              <w:t xml:space="preserve"> it may be between 2 and 5 years.</w:t>
            </w:r>
          </w:p>
        </w:tc>
      </w:tr>
      <w:tr w:rsidR="00153CE6" w14:paraId="45678AC3" w14:textId="77777777" w:rsidTr="004101B1">
        <w:tc>
          <w:tcPr>
            <w:tcW w:w="3714" w:type="dxa"/>
          </w:tcPr>
          <w:p w14:paraId="28232806" w14:textId="77777777" w:rsidR="0073548E" w:rsidRPr="00BA350A" w:rsidRDefault="0073548E" w:rsidP="00583667">
            <w:pPr>
              <w:rPr>
                <w:rFonts w:ascii="Verdana" w:hAnsi="Verdana"/>
                <w:b/>
              </w:rPr>
            </w:pPr>
            <w:r w:rsidRPr="00BA350A">
              <w:rPr>
                <w:rFonts w:ascii="Verdana" w:hAnsi="Verdana"/>
              </w:rPr>
              <w:t>Periodic Tenancies</w:t>
            </w:r>
          </w:p>
        </w:tc>
        <w:tc>
          <w:tcPr>
            <w:tcW w:w="6198" w:type="dxa"/>
          </w:tcPr>
          <w:p w14:paraId="67C32B78" w14:textId="09F1B863" w:rsidR="0073548E" w:rsidRPr="00BA350A" w:rsidRDefault="00A112C2" w:rsidP="00583667">
            <w:pPr>
              <w:rPr>
                <w:rFonts w:ascii="Verdana" w:hAnsi="Verdana"/>
                <w:b/>
              </w:rPr>
            </w:pPr>
            <w:r>
              <w:rPr>
                <w:rFonts w:ascii="Verdana" w:hAnsi="Verdana"/>
              </w:rPr>
              <w:t>C</w:t>
            </w:r>
            <w:r w:rsidR="00754511">
              <w:rPr>
                <w:rFonts w:ascii="Verdana" w:hAnsi="Verdana"/>
              </w:rPr>
              <w:t xml:space="preserve">ollectively </w:t>
            </w:r>
            <w:r w:rsidR="0073548E" w:rsidRPr="00BA350A">
              <w:rPr>
                <w:rFonts w:ascii="Verdana" w:hAnsi="Verdana"/>
              </w:rPr>
              <w:t>Secure Periodic Tenancies and Assured Periodic Tenancies</w:t>
            </w:r>
            <w:r w:rsidR="0073548E">
              <w:rPr>
                <w:rFonts w:ascii="Verdana" w:hAnsi="Verdana"/>
              </w:rPr>
              <w:t>.</w:t>
            </w:r>
          </w:p>
        </w:tc>
      </w:tr>
      <w:tr w:rsidR="00153CE6" w14:paraId="067B9632" w14:textId="77777777" w:rsidTr="004101B1">
        <w:tc>
          <w:tcPr>
            <w:tcW w:w="3714" w:type="dxa"/>
          </w:tcPr>
          <w:p w14:paraId="30433175" w14:textId="77777777" w:rsidR="00BA350A" w:rsidRPr="00BA350A" w:rsidRDefault="00BA350A" w:rsidP="00BA350A">
            <w:pPr>
              <w:rPr>
                <w:rFonts w:ascii="Verdana" w:hAnsi="Verdana"/>
                <w:b/>
              </w:rPr>
            </w:pPr>
            <w:r w:rsidRPr="00BA350A">
              <w:rPr>
                <w:rFonts w:ascii="Verdana" w:hAnsi="Verdana"/>
              </w:rPr>
              <w:t>Private Registered Provider</w:t>
            </w:r>
          </w:p>
        </w:tc>
        <w:tc>
          <w:tcPr>
            <w:tcW w:w="6198" w:type="dxa"/>
          </w:tcPr>
          <w:p w14:paraId="1CCD2E72" w14:textId="319E1D76" w:rsidR="00BA350A" w:rsidRPr="00BA350A" w:rsidRDefault="00955CD5" w:rsidP="00BA350A">
            <w:pPr>
              <w:rPr>
                <w:rFonts w:ascii="Verdana" w:hAnsi="Verdana"/>
                <w:b/>
              </w:rPr>
            </w:pPr>
            <w:r>
              <w:rPr>
                <w:rFonts w:ascii="Verdana" w:hAnsi="Verdana"/>
              </w:rPr>
              <w:t>p</w:t>
            </w:r>
            <w:r w:rsidR="00BA350A">
              <w:rPr>
                <w:rFonts w:ascii="Verdana" w:hAnsi="Verdana"/>
              </w:rPr>
              <w:t>art-public</w:t>
            </w:r>
            <w:r w:rsidR="003222D5">
              <w:rPr>
                <w:rFonts w:ascii="Verdana" w:hAnsi="Verdana"/>
              </w:rPr>
              <w:t>ly</w:t>
            </w:r>
            <w:r w:rsidR="00BA350A">
              <w:rPr>
                <w:rFonts w:ascii="Verdana" w:hAnsi="Verdana"/>
              </w:rPr>
              <w:t>/part-private</w:t>
            </w:r>
            <w:r w:rsidR="003222D5">
              <w:rPr>
                <w:rFonts w:ascii="Verdana" w:hAnsi="Verdana"/>
              </w:rPr>
              <w:t>ly</w:t>
            </w:r>
            <w:r w:rsidR="00BA350A">
              <w:rPr>
                <w:rFonts w:ascii="Verdana" w:hAnsi="Verdana"/>
              </w:rPr>
              <w:t xml:space="preserve"> funded </w:t>
            </w:r>
            <w:r w:rsidR="00464C85">
              <w:rPr>
                <w:rFonts w:ascii="Verdana" w:hAnsi="Verdana"/>
              </w:rPr>
              <w:t>provider of social housing</w:t>
            </w:r>
            <w:r w:rsidR="00BA350A">
              <w:rPr>
                <w:rFonts w:ascii="Verdana" w:hAnsi="Verdana"/>
              </w:rPr>
              <w:t xml:space="preserve">, commonly </w:t>
            </w:r>
            <w:r w:rsidR="003222D5">
              <w:rPr>
                <w:rFonts w:ascii="Verdana" w:hAnsi="Verdana"/>
              </w:rPr>
              <w:t>referred to as ‘</w:t>
            </w:r>
            <w:r w:rsidR="00BA350A">
              <w:rPr>
                <w:rFonts w:ascii="Verdana" w:hAnsi="Verdana"/>
              </w:rPr>
              <w:t>h</w:t>
            </w:r>
            <w:r w:rsidR="00BA350A" w:rsidRPr="00BA350A">
              <w:rPr>
                <w:rFonts w:ascii="Verdana" w:hAnsi="Verdana"/>
              </w:rPr>
              <w:t xml:space="preserve">ousing </w:t>
            </w:r>
            <w:r w:rsidR="00BA3076" w:rsidRPr="00BA350A">
              <w:rPr>
                <w:rFonts w:ascii="Verdana" w:hAnsi="Verdana"/>
              </w:rPr>
              <w:t>associations</w:t>
            </w:r>
            <w:r w:rsidR="0073548E">
              <w:rPr>
                <w:rFonts w:ascii="Verdana" w:hAnsi="Verdana"/>
              </w:rPr>
              <w:t>.</w:t>
            </w:r>
          </w:p>
        </w:tc>
      </w:tr>
      <w:tr w:rsidR="00F86B34" w14:paraId="70420469" w14:textId="77777777" w:rsidTr="004101B1">
        <w:tc>
          <w:tcPr>
            <w:tcW w:w="3714" w:type="dxa"/>
          </w:tcPr>
          <w:p w14:paraId="6F2A478B" w14:textId="17F049F1" w:rsidR="00F86B34" w:rsidRDefault="00F86B34" w:rsidP="001E4679">
            <w:pPr>
              <w:rPr>
                <w:rFonts w:ascii="Verdana" w:hAnsi="Verdana"/>
              </w:rPr>
            </w:pPr>
            <w:r>
              <w:rPr>
                <w:rFonts w:ascii="Verdana" w:hAnsi="Verdana"/>
              </w:rPr>
              <w:t>Public Registered Provider</w:t>
            </w:r>
          </w:p>
        </w:tc>
        <w:tc>
          <w:tcPr>
            <w:tcW w:w="6198" w:type="dxa"/>
          </w:tcPr>
          <w:p w14:paraId="440789E6" w14:textId="63548C52" w:rsidR="00F86B34" w:rsidRDefault="00BA3076" w:rsidP="0073548E">
            <w:pPr>
              <w:rPr>
                <w:rFonts w:ascii="Verdana" w:hAnsi="Verdana"/>
              </w:rPr>
            </w:pPr>
            <w:r>
              <w:rPr>
                <w:rFonts w:ascii="Verdana" w:hAnsi="Verdana"/>
              </w:rPr>
              <w:t>A</w:t>
            </w:r>
            <w:r w:rsidR="00F01D14">
              <w:rPr>
                <w:rFonts w:ascii="Verdana" w:hAnsi="Verdana"/>
              </w:rPr>
              <w:t xml:space="preserve"> local authorit</w:t>
            </w:r>
            <w:r w:rsidR="00464C85">
              <w:rPr>
                <w:rFonts w:ascii="Verdana" w:hAnsi="Verdana"/>
              </w:rPr>
              <w:t>y</w:t>
            </w:r>
            <w:r w:rsidR="00F01D14">
              <w:rPr>
                <w:rFonts w:ascii="Verdana" w:hAnsi="Verdana"/>
              </w:rPr>
              <w:t xml:space="preserve"> </w:t>
            </w:r>
            <w:r w:rsidR="0072592D">
              <w:rPr>
                <w:rFonts w:ascii="Verdana" w:hAnsi="Verdana"/>
              </w:rPr>
              <w:t>provider of social housing</w:t>
            </w:r>
            <w:r w:rsidR="003B64FB">
              <w:rPr>
                <w:rFonts w:ascii="Verdana" w:hAnsi="Verdana"/>
              </w:rPr>
              <w:t>.</w:t>
            </w:r>
          </w:p>
        </w:tc>
      </w:tr>
      <w:tr w:rsidR="00B3207C" w14:paraId="080DE703" w14:textId="77777777" w:rsidTr="004101B1">
        <w:tc>
          <w:tcPr>
            <w:tcW w:w="3714" w:type="dxa"/>
          </w:tcPr>
          <w:p w14:paraId="2809892D" w14:textId="3D7578FB" w:rsidR="00B3207C" w:rsidRDefault="00B3207C" w:rsidP="004F6489">
            <w:pPr>
              <w:rPr>
                <w:rFonts w:ascii="Verdana" w:hAnsi="Verdana"/>
              </w:rPr>
            </w:pPr>
            <w:r>
              <w:rPr>
                <w:rFonts w:ascii="Verdana" w:hAnsi="Verdana"/>
              </w:rPr>
              <w:t>Secure Periodic Tenancy</w:t>
            </w:r>
          </w:p>
        </w:tc>
        <w:tc>
          <w:tcPr>
            <w:tcW w:w="6198" w:type="dxa"/>
          </w:tcPr>
          <w:p w14:paraId="10E04D9B" w14:textId="117F1FD4" w:rsidR="00B3207C" w:rsidRDefault="00B3207C" w:rsidP="004F6489">
            <w:pPr>
              <w:rPr>
                <w:rFonts w:ascii="Verdana" w:hAnsi="Verdana"/>
              </w:rPr>
            </w:pPr>
          </w:p>
        </w:tc>
      </w:tr>
      <w:tr w:rsidR="004F6489" w14:paraId="1B1B3472" w14:textId="77777777" w:rsidTr="004101B1">
        <w:tc>
          <w:tcPr>
            <w:tcW w:w="3714" w:type="dxa"/>
          </w:tcPr>
          <w:p w14:paraId="4826C343" w14:textId="74650A88" w:rsidR="004F6489" w:rsidRDefault="004F6489" w:rsidP="004F6489">
            <w:pPr>
              <w:rPr>
                <w:rFonts w:ascii="Verdana" w:hAnsi="Verdana"/>
              </w:rPr>
            </w:pPr>
            <w:r>
              <w:rPr>
                <w:rFonts w:ascii="Verdana" w:hAnsi="Verdana"/>
              </w:rPr>
              <w:t xml:space="preserve">SHRA </w:t>
            </w:r>
          </w:p>
        </w:tc>
        <w:tc>
          <w:tcPr>
            <w:tcW w:w="6198" w:type="dxa"/>
          </w:tcPr>
          <w:p w14:paraId="121DC4FF" w14:textId="29DFDFDB" w:rsidR="004F6489" w:rsidRDefault="004F6489" w:rsidP="004F6489">
            <w:pPr>
              <w:rPr>
                <w:rFonts w:ascii="Verdana" w:hAnsi="Verdana"/>
              </w:rPr>
            </w:pPr>
            <w:r>
              <w:rPr>
                <w:rFonts w:ascii="Verdana" w:hAnsi="Verdana"/>
              </w:rPr>
              <w:t>Social Housing (Regulation) Act 2023.</w:t>
            </w:r>
          </w:p>
        </w:tc>
      </w:tr>
      <w:tr w:rsidR="004F6489" w14:paraId="395A451D" w14:textId="77777777" w:rsidTr="004101B1">
        <w:tc>
          <w:tcPr>
            <w:tcW w:w="3714" w:type="dxa"/>
          </w:tcPr>
          <w:p w14:paraId="4E3DBA47" w14:textId="7B6B3493" w:rsidR="004F6489" w:rsidRPr="00BA350A" w:rsidRDefault="004F6489" w:rsidP="004F6489">
            <w:pPr>
              <w:rPr>
                <w:rFonts w:ascii="Verdana" w:hAnsi="Verdana"/>
                <w:b/>
              </w:rPr>
            </w:pPr>
            <w:r w:rsidRPr="00BA350A">
              <w:rPr>
                <w:rFonts w:ascii="Verdana" w:hAnsi="Verdana"/>
              </w:rPr>
              <w:t>Social Landlords</w:t>
            </w:r>
          </w:p>
        </w:tc>
        <w:tc>
          <w:tcPr>
            <w:tcW w:w="6198" w:type="dxa"/>
          </w:tcPr>
          <w:p w14:paraId="312025E3" w14:textId="2E12F06F" w:rsidR="004F6489" w:rsidRPr="00BA350A" w:rsidRDefault="00A112C2" w:rsidP="004F6489">
            <w:pPr>
              <w:rPr>
                <w:rFonts w:ascii="Verdana" w:hAnsi="Verdana"/>
                <w:b/>
              </w:rPr>
            </w:pPr>
            <w:r>
              <w:rPr>
                <w:rFonts w:ascii="Verdana" w:hAnsi="Verdana"/>
              </w:rPr>
              <w:t>C</w:t>
            </w:r>
            <w:r w:rsidR="004F6489">
              <w:rPr>
                <w:rFonts w:ascii="Verdana" w:hAnsi="Verdana"/>
              </w:rPr>
              <w:t>ollectively the Private Registered Providers and the Public Registered Providers</w:t>
            </w:r>
            <w:r w:rsidR="003B64FB">
              <w:rPr>
                <w:rFonts w:ascii="Verdana" w:hAnsi="Verdana"/>
              </w:rPr>
              <w:t>.</w:t>
            </w:r>
          </w:p>
        </w:tc>
      </w:tr>
      <w:tr w:rsidR="004F6489" w14:paraId="0BF7D066" w14:textId="77777777" w:rsidTr="004101B1">
        <w:tc>
          <w:tcPr>
            <w:tcW w:w="3714" w:type="dxa"/>
          </w:tcPr>
          <w:p w14:paraId="6BC01705" w14:textId="37AA829D" w:rsidR="004F6489" w:rsidRPr="00BA350A" w:rsidDel="00517F8A" w:rsidRDefault="004F6489" w:rsidP="004F6489">
            <w:pPr>
              <w:rPr>
                <w:rFonts w:ascii="Verdana" w:hAnsi="Verdana"/>
              </w:rPr>
            </w:pPr>
            <w:r>
              <w:rPr>
                <w:rFonts w:ascii="Verdana" w:hAnsi="Verdana"/>
              </w:rPr>
              <w:t>Social Housing</w:t>
            </w:r>
          </w:p>
        </w:tc>
        <w:tc>
          <w:tcPr>
            <w:tcW w:w="6198" w:type="dxa"/>
          </w:tcPr>
          <w:p w14:paraId="21B61028" w14:textId="468C6FAA" w:rsidR="004C17BE" w:rsidRDefault="00363FD0" w:rsidP="004F6489">
            <w:pPr>
              <w:rPr>
                <w:rFonts w:ascii="Verdana" w:hAnsi="Verdana"/>
              </w:rPr>
            </w:pPr>
            <w:r>
              <w:rPr>
                <w:rFonts w:ascii="Verdana" w:hAnsi="Verdana"/>
              </w:rPr>
              <w:t>Low-cost</w:t>
            </w:r>
            <w:r w:rsidR="004C17BE">
              <w:rPr>
                <w:rFonts w:ascii="Verdana" w:hAnsi="Verdana"/>
              </w:rPr>
              <w:t xml:space="preserve"> rental housing</w:t>
            </w:r>
          </w:p>
          <w:p w14:paraId="090F0F04" w14:textId="77777777" w:rsidR="004C17BE" w:rsidRDefault="004C17BE" w:rsidP="004F6489">
            <w:pPr>
              <w:rPr>
                <w:rFonts w:ascii="Verdana" w:hAnsi="Verdana"/>
              </w:rPr>
            </w:pPr>
          </w:p>
          <w:p w14:paraId="434011CD" w14:textId="6096823C" w:rsidR="004F6489" w:rsidDel="003222D5" w:rsidRDefault="004C17BE" w:rsidP="004F6489">
            <w:pPr>
              <w:rPr>
                <w:rFonts w:ascii="Verdana" w:hAnsi="Verdana"/>
              </w:rPr>
            </w:pPr>
            <w:r>
              <w:rPr>
                <w:rFonts w:ascii="Verdana" w:hAnsi="Verdana"/>
              </w:rPr>
              <w:t xml:space="preserve"> provided by Private Registered Providers and Public Registered Providers</w:t>
            </w:r>
          </w:p>
        </w:tc>
      </w:tr>
      <w:tr w:rsidR="004F6489" w14:paraId="5F91368D" w14:textId="77777777" w:rsidTr="004101B1">
        <w:tc>
          <w:tcPr>
            <w:tcW w:w="3714" w:type="dxa"/>
          </w:tcPr>
          <w:p w14:paraId="7170BAB0" w14:textId="0D3ADE6B" w:rsidR="004F6489" w:rsidRPr="00BA350A" w:rsidRDefault="004F6489" w:rsidP="004F6489">
            <w:pPr>
              <w:rPr>
                <w:rFonts w:ascii="Verdana" w:hAnsi="Verdana"/>
              </w:rPr>
            </w:pPr>
            <w:r>
              <w:rPr>
                <w:rFonts w:ascii="Verdana" w:hAnsi="Verdana"/>
              </w:rPr>
              <w:t>The Tenancy Standard</w:t>
            </w:r>
          </w:p>
        </w:tc>
        <w:tc>
          <w:tcPr>
            <w:tcW w:w="6198" w:type="dxa"/>
          </w:tcPr>
          <w:p w14:paraId="0CB6E58E" w14:textId="6AF63AF9" w:rsidR="004F6489" w:rsidRPr="007E2A2E" w:rsidRDefault="004F6489" w:rsidP="004F6489">
            <w:pPr>
              <w:rPr>
                <w:rFonts w:ascii="Verdana" w:hAnsi="Verdana"/>
              </w:rPr>
            </w:pPr>
            <w:r w:rsidRPr="007E2A2E">
              <w:rPr>
                <w:rFonts w:ascii="Verdana" w:hAnsi="Verdana"/>
              </w:rPr>
              <w:t>means the Tenancy Standard – Consumer standards dated 01 April 2024</w:t>
            </w:r>
          </w:p>
        </w:tc>
      </w:tr>
      <w:bookmarkEnd w:id="2"/>
    </w:tbl>
    <w:p w14:paraId="571A4698" w14:textId="77777777" w:rsidR="001E4679" w:rsidRDefault="001E4679" w:rsidP="001E4679">
      <w:pPr>
        <w:rPr>
          <w:rFonts w:ascii="Verdana" w:hAnsi="Verdana"/>
          <w:b/>
        </w:rPr>
      </w:pPr>
      <w:r>
        <w:rPr>
          <w:rFonts w:ascii="Verdana" w:hAnsi="Verdana"/>
          <w:b/>
        </w:rPr>
        <w:br w:type="page"/>
      </w:r>
    </w:p>
    <w:p w14:paraId="261325FD" w14:textId="77777777" w:rsidR="003A1E46" w:rsidRPr="00AF148A" w:rsidRDefault="00F21E79" w:rsidP="004E7D5F">
      <w:pPr>
        <w:rPr>
          <w:rFonts w:ascii="Verdana" w:hAnsi="Verdana"/>
          <w:b/>
          <w:sz w:val="28"/>
          <w:szCs w:val="28"/>
        </w:rPr>
      </w:pPr>
      <w:bookmarkStart w:id="3" w:name="_Hlk143624616"/>
      <w:r>
        <w:rPr>
          <w:rFonts w:ascii="Verdana" w:hAnsi="Verdana"/>
          <w:b/>
          <w:sz w:val="28"/>
          <w:szCs w:val="28"/>
        </w:rPr>
        <w:lastRenderedPageBreak/>
        <w:t>1</w:t>
      </w:r>
      <w:r>
        <w:rPr>
          <w:rFonts w:ascii="Verdana" w:hAnsi="Verdana"/>
          <w:b/>
          <w:sz w:val="28"/>
          <w:szCs w:val="28"/>
        </w:rPr>
        <w:tab/>
      </w:r>
      <w:r w:rsidR="003A1E46" w:rsidRPr="00AF148A">
        <w:rPr>
          <w:rFonts w:ascii="Verdana" w:hAnsi="Verdana"/>
          <w:b/>
          <w:sz w:val="28"/>
          <w:szCs w:val="28"/>
        </w:rPr>
        <w:t>Introduction</w:t>
      </w:r>
    </w:p>
    <w:p w14:paraId="47A51C8C" w14:textId="77777777" w:rsidR="003A1E46" w:rsidRPr="00AF148A" w:rsidRDefault="003A1E46" w:rsidP="004E7D5F">
      <w:pPr>
        <w:rPr>
          <w:rFonts w:ascii="Verdana" w:hAnsi="Verdana"/>
        </w:rPr>
      </w:pPr>
    </w:p>
    <w:p w14:paraId="24450532" w14:textId="6E1E9DA8" w:rsidR="00A63AA2" w:rsidRDefault="00A63AA2" w:rsidP="004E7D5F">
      <w:pPr>
        <w:rPr>
          <w:rFonts w:ascii="Verdana" w:hAnsi="Verdana"/>
        </w:rPr>
      </w:pPr>
      <w:r>
        <w:rPr>
          <w:rFonts w:ascii="Verdana" w:hAnsi="Verdana"/>
        </w:rPr>
        <w:t xml:space="preserve">It is a legal requirement under Section 150 of the Localism Act 2011 (“the Act”) that, from January 2013, all local housing authorities have a Tenancy Strategy for their area. </w:t>
      </w:r>
    </w:p>
    <w:p w14:paraId="06E51CF2" w14:textId="77777777" w:rsidR="00A63AA2" w:rsidRDefault="00A63AA2" w:rsidP="004E7D5F">
      <w:pPr>
        <w:rPr>
          <w:rFonts w:ascii="Verdana" w:hAnsi="Verdana"/>
        </w:rPr>
      </w:pPr>
    </w:p>
    <w:p w14:paraId="1E9411DC" w14:textId="77AAB647" w:rsidR="003A1E46" w:rsidRDefault="00C01649" w:rsidP="004E7D5F">
      <w:pPr>
        <w:rPr>
          <w:rFonts w:ascii="Verdana" w:hAnsi="Verdana"/>
        </w:rPr>
      </w:pPr>
      <w:r>
        <w:rPr>
          <w:rFonts w:ascii="Verdana" w:hAnsi="Verdana"/>
        </w:rPr>
        <w:t>North Warwickshire Borough Council, Nuneaton and Bedworth Borough Council</w:t>
      </w:r>
      <w:r w:rsidR="00327651">
        <w:rPr>
          <w:rFonts w:ascii="Verdana" w:hAnsi="Verdana"/>
        </w:rPr>
        <w:t>,</w:t>
      </w:r>
      <w:r>
        <w:rPr>
          <w:rFonts w:ascii="Verdana" w:hAnsi="Verdana"/>
        </w:rPr>
        <w:t xml:space="preserve"> Rugby Borough Council</w:t>
      </w:r>
      <w:r w:rsidR="00327651">
        <w:rPr>
          <w:rFonts w:ascii="Verdana" w:hAnsi="Verdana"/>
        </w:rPr>
        <w:t xml:space="preserve"> and</w:t>
      </w:r>
      <w:r w:rsidR="00327651" w:rsidRPr="00327651">
        <w:rPr>
          <w:rFonts w:ascii="Verdana" w:hAnsi="Verdana"/>
        </w:rPr>
        <w:t xml:space="preserve"> </w:t>
      </w:r>
      <w:r w:rsidR="00327651">
        <w:rPr>
          <w:rFonts w:ascii="Verdana" w:hAnsi="Verdana"/>
        </w:rPr>
        <w:t xml:space="preserve">Warwick District Council </w:t>
      </w:r>
      <w:r w:rsidR="00682AB0">
        <w:rPr>
          <w:rFonts w:ascii="Verdana" w:hAnsi="Verdana"/>
        </w:rPr>
        <w:t>(“the Councils”) decided</w:t>
      </w:r>
      <w:r w:rsidR="00327651">
        <w:rPr>
          <w:rFonts w:ascii="Verdana" w:hAnsi="Verdana"/>
        </w:rPr>
        <w:t xml:space="preserve"> to produce a joint </w:t>
      </w:r>
      <w:r w:rsidR="0067393C">
        <w:rPr>
          <w:rFonts w:ascii="Verdana" w:hAnsi="Verdana"/>
        </w:rPr>
        <w:t>Tenancy S</w:t>
      </w:r>
      <w:r w:rsidR="00327651">
        <w:rPr>
          <w:rFonts w:ascii="Verdana" w:hAnsi="Verdana"/>
        </w:rPr>
        <w:t>trategy for the area covered by the Councils</w:t>
      </w:r>
      <w:r w:rsidR="002842D6">
        <w:rPr>
          <w:rFonts w:ascii="Verdana" w:hAnsi="Verdana"/>
        </w:rPr>
        <w:t xml:space="preserve"> (“the Designated Area”)</w:t>
      </w:r>
      <w:r w:rsidR="00632042">
        <w:rPr>
          <w:rFonts w:ascii="Verdana" w:hAnsi="Verdana"/>
        </w:rPr>
        <w:t xml:space="preserve">, which is shown on the map </w:t>
      </w:r>
      <w:r w:rsidR="0067393C">
        <w:rPr>
          <w:rFonts w:ascii="Verdana" w:hAnsi="Verdana"/>
        </w:rPr>
        <w:t>at A</w:t>
      </w:r>
      <w:r w:rsidR="00632042">
        <w:rPr>
          <w:rFonts w:ascii="Verdana" w:hAnsi="Verdana"/>
        </w:rPr>
        <w:t xml:space="preserve">ppendix </w:t>
      </w:r>
      <w:r w:rsidR="0067393C">
        <w:rPr>
          <w:rFonts w:ascii="Verdana" w:hAnsi="Verdana"/>
        </w:rPr>
        <w:t>O</w:t>
      </w:r>
      <w:r w:rsidR="00632042">
        <w:rPr>
          <w:rFonts w:ascii="Verdana" w:hAnsi="Verdana"/>
        </w:rPr>
        <w:t>ne</w:t>
      </w:r>
      <w:r w:rsidR="00327651">
        <w:rPr>
          <w:rFonts w:ascii="Verdana" w:hAnsi="Verdana"/>
        </w:rPr>
        <w:t>.</w:t>
      </w:r>
    </w:p>
    <w:p w14:paraId="317DE343" w14:textId="77777777" w:rsidR="00327651" w:rsidRDefault="00327651" w:rsidP="004E7D5F">
      <w:pPr>
        <w:rPr>
          <w:rFonts w:ascii="Verdana" w:hAnsi="Verdana"/>
        </w:rPr>
      </w:pPr>
    </w:p>
    <w:p w14:paraId="20FD92FF" w14:textId="3D1A3103" w:rsidR="00F97356" w:rsidRDefault="00F97356" w:rsidP="00F97356">
      <w:pPr>
        <w:rPr>
          <w:rFonts w:ascii="Verdana" w:hAnsi="Verdana"/>
        </w:rPr>
      </w:pPr>
      <w:r>
        <w:rPr>
          <w:rFonts w:ascii="Verdana" w:hAnsi="Verdana"/>
        </w:rPr>
        <w:t xml:space="preserve">The Councils cover an area of 385 square miles in the county of Warwickshire in the West Midlands region of England. </w:t>
      </w:r>
      <w:r w:rsidR="000A06F7">
        <w:rPr>
          <w:rFonts w:ascii="Verdana" w:hAnsi="Verdana"/>
        </w:rPr>
        <w:t xml:space="preserve"> On</w:t>
      </w:r>
      <w:r>
        <w:rPr>
          <w:rFonts w:ascii="Verdana" w:hAnsi="Verdana"/>
        </w:rPr>
        <w:t xml:space="preserve"> 31</w:t>
      </w:r>
      <w:r w:rsidRPr="00A63AA2">
        <w:rPr>
          <w:rFonts w:ascii="Verdana" w:hAnsi="Verdana"/>
          <w:vertAlign w:val="superscript"/>
        </w:rPr>
        <w:t>st</w:t>
      </w:r>
      <w:r>
        <w:rPr>
          <w:rFonts w:ascii="Verdana" w:hAnsi="Verdana"/>
        </w:rPr>
        <w:t xml:space="preserve"> March 20</w:t>
      </w:r>
      <w:r w:rsidR="00F61A1B">
        <w:rPr>
          <w:rFonts w:ascii="Verdana" w:hAnsi="Verdana"/>
        </w:rPr>
        <w:t>2</w:t>
      </w:r>
      <w:r w:rsidR="00943DBA">
        <w:rPr>
          <w:rFonts w:ascii="Verdana" w:hAnsi="Verdana"/>
        </w:rPr>
        <w:t>3</w:t>
      </w:r>
      <w:r w:rsidR="00CA74CD">
        <w:rPr>
          <w:rFonts w:ascii="Verdana" w:hAnsi="Verdana"/>
        </w:rPr>
        <w:t>,</w:t>
      </w:r>
      <w:r>
        <w:rPr>
          <w:rFonts w:ascii="Verdana" w:hAnsi="Verdana"/>
        </w:rPr>
        <w:t xml:space="preserve"> there were almost </w:t>
      </w:r>
      <w:r w:rsidR="00943DBA">
        <w:rPr>
          <w:rFonts w:ascii="Verdana" w:hAnsi="Verdana"/>
        </w:rPr>
        <w:t>30,000</w:t>
      </w:r>
      <w:r>
        <w:rPr>
          <w:rFonts w:ascii="Verdana" w:hAnsi="Verdana"/>
        </w:rPr>
        <w:t xml:space="preserve"> rented homes</w:t>
      </w:r>
      <w:r w:rsidR="00CA74CD">
        <w:rPr>
          <w:rFonts w:ascii="Verdana" w:hAnsi="Verdana"/>
        </w:rPr>
        <w:t>,</w:t>
      </w:r>
      <w:r>
        <w:rPr>
          <w:rFonts w:ascii="Verdana" w:hAnsi="Verdana"/>
        </w:rPr>
        <w:t xml:space="preserve"> owned by more than 50 Private Registered Providers</w:t>
      </w:r>
      <w:r w:rsidR="00CA74CD">
        <w:rPr>
          <w:rFonts w:ascii="Verdana" w:hAnsi="Verdana"/>
        </w:rPr>
        <w:t>,</w:t>
      </w:r>
      <w:r>
        <w:rPr>
          <w:rFonts w:ascii="Verdana" w:hAnsi="Verdana"/>
        </w:rPr>
        <w:t xml:space="preserve"> in the Designated Area.</w:t>
      </w:r>
      <w:r w:rsidRPr="00AF5D80">
        <w:rPr>
          <w:rFonts w:ascii="Verdana" w:hAnsi="Verdana"/>
        </w:rPr>
        <w:t xml:space="preserve"> </w:t>
      </w:r>
      <w:r>
        <w:rPr>
          <w:rFonts w:ascii="Verdana" w:hAnsi="Verdana"/>
        </w:rPr>
        <w:t>Individually, 15 Private Registered Providers had more than 100 units in the Designated Area and three of those had more than 1,000, but at the same time 26 had fewer than 50 homes in the Designated Area.</w:t>
      </w:r>
    </w:p>
    <w:p w14:paraId="3AFD007B" w14:textId="77777777" w:rsidR="00F97356" w:rsidRDefault="00F97356" w:rsidP="00F97356">
      <w:pPr>
        <w:rPr>
          <w:rFonts w:ascii="Verdana" w:hAnsi="Verdana"/>
        </w:rPr>
      </w:pPr>
    </w:p>
    <w:p w14:paraId="17082FE0" w14:textId="0AE5D547" w:rsidR="00F97356" w:rsidRDefault="00F97356" w:rsidP="00F97356">
      <w:pPr>
        <w:rPr>
          <w:rFonts w:ascii="Verdana" w:hAnsi="Verdana"/>
        </w:rPr>
      </w:pPr>
      <w:r>
        <w:rPr>
          <w:rFonts w:ascii="Verdana" w:hAnsi="Verdana"/>
        </w:rPr>
        <w:t xml:space="preserve">The Councils are all </w:t>
      </w:r>
      <w:r w:rsidR="00C97AEC">
        <w:rPr>
          <w:rFonts w:ascii="Verdana" w:hAnsi="Verdana"/>
        </w:rPr>
        <w:t xml:space="preserve">Public Registered </w:t>
      </w:r>
      <w:r w:rsidR="00A112C2">
        <w:rPr>
          <w:rFonts w:ascii="Verdana" w:hAnsi="Verdana"/>
        </w:rPr>
        <w:t>Providers,</w:t>
      </w:r>
      <w:r w:rsidR="00C97AEC">
        <w:rPr>
          <w:rFonts w:ascii="Verdana" w:hAnsi="Verdana"/>
        </w:rPr>
        <w:t xml:space="preserve"> </w:t>
      </w:r>
      <w:r>
        <w:rPr>
          <w:rFonts w:ascii="Verdana" w:hAnsi="Verdana"/>
        </w:rPr>
        <w:t>and</w:t>
      </w:r>
      <w:r w:rsidR="00A112C2">
        <w:rPr>
          <w:rFonts w:ascii="Verdana" w:hAnsi="Verdana"/>
        </w:rPr>
        <w:t xml:space="preserve"> </w:t>
      </w:r>
      <w:r w:rsidR="000A06F7">
        <w:rPr>
          <w:rFonts w:ascii="Verdana" w:hAnsi="Verdana"/>
        </w:rPr>
        <w:t>from</w:t>
      </w:r>
      <w:r>
        <w:rPr>
          <w:rFonts w:ascii="Verdana" w:hAnsi="Verdana"/>
        </w:rPr>
        <w:t xml:space="preserve"> 31</w:t>
      </w:r>
      <w:r w:rsidRPr="00AF5D80">
        <w:rPr>
          <w:rFonts w:ascii="Verdana" w:hAnsi="Verdana"/>
          <w:vertAlign w:val="superscript"/>
        </w:rPr>
        <w:t>st</w:t>
      </w:r>
      <w:r>
        <w:rPr>
          <w:rFonts w:ascii="Verdana" w:hAnsi="Verdana"/>
        </w:rPr>
        <w:t xml:space="preserve"> March 20</w:t>
      </w:r>
      <w:r w:rsidR="00943DBA">
        <w:rPr>
          <w:rFonts w:ascii="Verdana" w:hAnsi="Verdana"/>
        </w:rPr>
        <w:t>23</w:t>
      </w:r>
      <w:r>
        <w:rPr>
          <w:rFonts w:ascii="Verdana" w:hAnsi="Verdana"/>
        </w:rPr>
        <w:t xml:space="preserve">, they had a combined stock of </w:t>
      </w:r>
      <w:r w:rsidR="00943DBA">
        <w:rPr>
          <w:rFonts w:ascii="Verdana" w:hAnsi="Verdana"/>
        </w:rPr>
        <w:t>approximately</w:t>
      </w:r>
      <w:r>
        <w:rPr>
          <w:rFonts w:ascii="Verdana" w:hAnsi="Verdana"/>
        </w:rPr>
        <w:t xml:space="preserve"> 17,500 rented homes in the Designated Area.</w:t>
      </w:r>
      <w:r w:rsidR="007D3A4D">
        <w:rPr>
          <w:rFonts w:ascii="Verdana" w:hAnsi="Verdana"/>
        </w:rPr>
        <w:t xml:space="preserve">  The </w:t>
      </w:r>
      <w:r w:rsidR="004310DF">
        <w:rPr>
          <w:rFonts w:ascii="Verdana" w:hAnsi="Verdana"/>
        </w:rPr>
        <w:t xml:space="preserve">number of </w:t>
      </w:r>
      <w:r w:rsidR="00A320E2">
        <w:rPr>
          <w:rFonts w:ascii="Verdana" w:hAnsi="Verdana"/>
        </w:rPr>
        <w:t xml:space="preserve">Private </w:t>
      </w:r>
      <w:r w:rsidR="007D3A4D">
        <w:rPr>
          <w:rFonts w:ascii="Verdana" w:hAnsi="Verdana"/>
        </w:rPr>
        <w:t xml:space="preserve">Registered Provider </w:t>
      </w:r>
      <w:r w:rsidR="003072E3">
        <w:rPr>
          <w:rFonts w:ascii="Verdana" w:hAnsi="Verdana"/>
        </w:rPr>
        <w:t xml:space="preserve">homes </w:t>
      </w:r>
      <w:r w:rsidR="007D3A4D">
        <w:rPr>
          <w:rFonts w:ascii="Verdana" w:hAnsi="Verdana"/>
        </w:rPr>
        <w:t>amounted to nearly 15,000 in 2023, an increase of 3,000 since 2017.</w:t>
      </w:r>
      <w:r w:rsidR="00A112C2">
        <w:rPr>
          <w:rFonts w:ascii="Verdana" w:hAnsi="Verdana"/>
        </w:rPr>
        <w:t xml:space="preserve">  These homes include rented and </w:t>
      </w:r>
      <w:r w:rsidR="00363FD0">
        <w:rPr>
          <w:rFonts w:ascii="Verdana" w:hAnsi="Verdana"/>
        </w:rPr>
        <w:t>low-cost</w:t>
      </w:r>
      <w:r w:rsidR="00A112C2">
        <w:rPr>
          <w:rFonts w:ascii="Verdana" w:hAnsi="Verdana"/>
        </w:rPr>
        <w:t xml:space="preserve"> home ownership tenures such as shared ownership.</w:t>
      </w:r>
    </w:p>
    <w:p w14:paraId="302158E7" w14:textId="77777777" w:rsidR="00F97356" w:rsidRDefault="00F97356" w:rsidP="00F97356">
      <w:pPr>
        <w:rPr>
          <w:rFonts w:ascii="Verdana" w:hAnsi="Verdana"/>
        </w:rPr>
      </w:pPr>
    </w:p>
    <w:p w14:paraId="2E506F14" w14:textId="08D20900" w:rsidR="00943DBA" w:rsidRDefault="00F97356" w:rsidP="00F97356">
      <w:pPr>
        <w:rPr>
          <w:rFonts w:ascii="Verdana" w:hAnsi="Verdana"/>
        </w:rPr>
      </w:pPr>
      <w:r>
        <w:rPr>
          <w:rFonts w:ascii="Verdana" w:hAnsi="Verdana"/>
        </w:rPr>
        <w:t xml:space="preserve">Appendix </w:t>
      </w:r>
      <w:r w:rsidR="00B47EA6">
        <w:rPr>
          <w:rFonts w:ascii="Verdana" w:hAnsi="Verdana"/>
        </w:rPr>
        <w:t>T</w:t>
      </w:r>
      <w:r>
        <w:rPr>
          <w:rFonts w:ascii="Verdana" w:hAnsi="Verdana"/>
        </w:rPr>
        <w:t xml:space="preserve">wo contains more detailed information </w:t>
      </w:r>
      <w:r w:rsidR="00B47EA6">
        <w:rPr>
          <w:rFonts w:ascii="Verdana" w:hAnsi="Verdana"/>
        </w:rPr>
        <w:t xml:space="preserve">regarding the number </w:t>
      </w:r>
      <w:r w:rsidR="00B14135">
        <w:rPr>
          <w:rFonts w:ascii="Verdana" w:hAnsi="Verdana"/>
        </w:rPr>
        <w:t xml:space="preserve">of rented homes within the Designated Area although </w:t>
      </w:r>
      <w:r w:rsidR="000A06F7">
        <w:rPr>
          <w:rFonts w:ascii="Verdana" w:hAnsi="Verdana"/>
        </w:rPr>
        <w:t>n</w:t>
      </w:r>
      <w:r w:rsidR="00943DBA">
        <w:rPr>
          <w:rFonts w:ascii="Verdana" w:hAnsi="Verdana"/>
        </w:rPr>
        <w:t xml:space="preserve">umbers vary </w:t>
      </w:r>
      <w:r w:rsidR="00B14135">
        <w:rPr>
          <w:rFonts w:ascii="Verdana" w:hAnsi="Verdana"/>
        </w:rPr>
        <w:t xml:space="preserve">from year to </w:t>
      </w:r>
      <w:r w:rsidR="00943DBA">
        <w:rPr>
          <w:rFonts w:ascii="Verdana" w:hAnsi="Verdana"/>
        </w:rPr>
        <w:t>year</w:t>
      </w:r>
      <w:r w:rsidR="00B14135">
        <w:rPr>
          <w:rFonts w:ascii="Verdana" w:hAnsi="Verdana"/>
        </w:rPr>
        <w:t xml:space="preserve">, depending </w:t>
      </w:r>
      <w:r w:rsidR="00943DBA">
        <w:rPr>
          <w:rFonts w:ascii="Verdana" w:hAnsi="Verdana"/>
        </w:rPr>
        <w:t xml:space="preserve">on </w:t>
      </w:r>
      <w:r w:rsidR="00B14135">
        <w:rPr>
          <w:rFonts w:ascii="Verdana" w:hAnsi="Verdana"/>
        </w:rPr>
        <w:t xml:space="preserve">the </w:t>
      </w:r>
      <w:r w:rsidR="007D7B58">
        <w:rPr>
          <w:rFonts w:ascii="Verdana" w:hAnsi="Verdana"/>
        </w:rPr>
        <w:t>number of</w:t>
      </w:r>
      <w:r w:rsidR="00B14135">
        <w:rPr>
          <w:rFonts w:ascii="Verdana" w:hAnsi="Verdana"/>
        </w:rPr>
        <w:t xml:space="preserve"> </w:t>
      </w:r>
      <w:r w:rsidR="00943DBA">
        <w:rPr>
          <w:rFonts w:ascii="Verdana" w:hAnsi="Verdana"/>
        </w:rPr>
        <w:t xml:space="preserve">new </w:t>
      </w:r>
      <w:r w:rsidR="007D7B58">
        <w:rPr>
          <w:rFonts w:ascii="Verdana" w:hAnsi="Verdana"/>
        </w:rPr>
        <w:t xml:space="preserve">properties built or acquired </w:t>
      </w:r>
      <w:r w:rsidR="00943DBA">
        <w:rPr>
          <w:rFonts w:ascii="Verdana" w:hAnsi="Verdana"/>
        </w:rPr>
        <w:t xml:space="preserve">and </w:t>
      </w:r>
      <w:r w:rsidR="00B14135">
        <w:rPr>
          <w:rFonts w:ascii="Verdana" w:hAnsi="Verdana"/>
        </w:rPr>
        <w:t xml:space="preserve">the number of properties sold under the </w:t>
      </w:r>
      <w:r w:rsidR="00943DBA">
        <w:rPr>
          <w:rFonts w:ascii="Verdana" w:hAnsi="Verdana"/>
        </w:rPr>
        <w:t>Right to Buy/Right to Acquire of Registered Provider properties.</w:t>
      </w:r>
    </w:p>
    <w:bookmarkEnd w:id="3"/>
    <w:p w14:paraId="135E4383" w14:textId="77777777" w:rsidR="00F97356" w:rsidRDefault="00F97356" w:rsidP="00F97356">
      <w:pPr>
        <w:rPr>
          <w:rFonts w:ascii="Verdana" w:hAnsi="Verdana"/>
        </w:rPr>
      </w:pPr>
    </w:p>
    <w:p w14:paraId="2250A5B3" w14:textId="77777777" w:rsidR="00176B1C" w:rsidRPr="00AF148A" w:rsidRDefault="00176B1C" w:rsidP="00176B1C">
      <w:pPr>
        <w:rPr>
          <w:rFonts w:ascii="Verdana" w:hAnsi="Verdana"/>
          <w:b/>
          <w:sz w:val="28"/>
          <w:szCs w:val="28"/>
        </w:rPr>
      </w:pPr>
      <w:bookmarkStart w:id="4" w:name="_Hlk143624867"/>
      <w:r>
        <w:rPr>
          <w:rFonts w:ascii="Verdana" w:hAnsi="Verdana"/>
          <w:b/>
          <w:sz w:val="28"/>
          <w:szCs w:val="28"/>
        </w:rPr>
        <w:t>2</w:t>
      </w:r>
      <w:r>
        <w:rPr>
          <w:rFonts w:ascii="Verdana" w:hAnsi="Verdana"/>
          <w:b/>
          <w:sz w:val="28"/>
          <w:szCs w:val="28"/>
        </w:rPr>
        <w:tab/>
        <w:t xml:space="preserve">Aims and </w:t>
      </w:r>
      <w:r w:rsidRPr="00AF148A">
        <w:rPr>
          <w:rFonts w:ascii="Verdana" w:hAnsi="Verdana"/>
          <w:b/>
          <w:sz w:val="28"/>
          <w:szCs w:val="28"/>
        </w:rPr>
        <w:t>Objective</w:t>
      </w:r>
      <w:r>
        <w:rPr>
          <w:rFonts w:ascii="Verdana" w:hAnsi="Verdana"/>
          <w:b/>
          <w:sz w:val="28"/>
          <w:szCs w:val="28"/>
        </w:rPr>
        <w:t>s</w:t>
      </w:r>
    </w:p>
    <w:p w14:paraId="0AF184D8" w14:textId="77777777" w:rsidR="00176B1C" w:rsidRPr="00AF148A" w:rsidRDefault="00176B1C" w:rsidP="00176B1C">
      <w:pPr>
        <w:rPr>
          <w:rFonts w:ascii="Verdana" w:hAnsi="Verdana"/>
        </w:rPr>
      </w:pPr>
    </w:p>
    <w:p w14:paraId="6E820A83" w14:textId="723A98CF" w:rsidR="00176B1C" w:rsidRPr="00AF148A" w:rsidRDefault="00176B1C" w:rsidP="00176B1C">
      <w:pPr>
        <w:rPr>
          <w:rFonts w:ascii="Verdana" w:hAnsi="Verdana"/>
        </w:rPr>
      </w:pPr>
      <w:r>
        <w:rPr>
          <w:rFonts w:ascii="Verdana" w:hAnsi="Verdana"/>
        </w:rPr>
        <w:t>This</w:t>
      </w:r>
      <w:r w:rsidRPr="00AF148A">
        <w:rPr>
          <w:rFonts w:ascii="Verdana" w:hAnsi="Verdana"/>
        </w:rPr>
        <w:t xml:space="preserve"> </w:t>
      </w:r>
      <w:r w:rsidR="005F0391">
        <w:rPr>
          <w:rFonts w:ascii="Verdana" w:hAnsi="Verdana"/>
        </w:rPr>
        <w:t>S</w:t>
      </w:r>
      <w:r w:rsidRPr="00AF148A">
        <w:rPr>
          <w:rFonts w:ascii="Verdana" w:hAnsi="Verdana"/>
        </w:rPr>
        <w:t xml:space="preserve">trategy </w:t>
      </w:r>
      <w:r>
        <w:rPr>
          <w:rFonts w:ascii="Verdana" w:hAnsi="Verdana"/>
        </w:rPr>
        <w:t>sets out</w:t>
      </w:r>
      <w:r w:rsidRPr="00AF148A">
        <w:rPr>
          <w:rFonts w:ascii="Verdana" w:hAnsi="Verdana"/>
        </w:rPr>
        <w:t xml:space="preserve"> how </w:t>
      </w:r>
      <w:r>
        <w:rPr>
          <w:rFonts w:ascii="Verdana" w:hAnsi="Verdana"/>
        </w:rPr>
        <w:t>the Councils</w:t>
      </w:r>
      <w:r w:rsidRPr="00AF148A">
        <w:rPr>
          <w:rFonts w:ascii="Verdana" w:hAnsi="Verdana"/>
        </w:rPr>
        <w:t xml:space="preserve"> </w:t>
      </w:r>
      <w:r>
        <w:rPr>
          <w:rFonts w:ascii="Verdana" w:hAnsi="Verdana"/>
        </w:rPr>
        <w:t>expect alternative tenancy types</w:t>
      </w:r>
      <w:r w:rsidRPr="00AF148A">
        <w:rPr>
          <w:rFonts w:ascii="Verdana" w:hAnsi="Verdana"/>
        </w:rPr>
        <w:t xml:space="preserve"> to be used in a strategic way to make the </w:t>
      </w:r>
      <w:r>
        <w:rPr>
          <w:rFonts w:ascii="Verdana" w:hAnsi="Verdana"/>
        </w:rPr>
        <w:t>most appropriate</w:t>
      </w:r>
      <w:r w:rsidRPr="00AF148A">
        <w:rPr>
          <w:rFonts w:ascii="Verdana" w:hAnsi="Verdana"/>
        </w:rPr>
        <w:t xml:space="preserve"> use of affordable housing stock across </w:t>
      </w:r>
      <w:r>
        <w:rPr>
          <w:rFonts w:ascii="Verdana" w:hAnsi="Verdana"/>
        </w:rPr>
        <w:t>the Designated Area.</w:t>
      </w:r>
    </w:p>
    <w:p w14:paraId="0DDA3EB3" w14:textId="77777777" w:rsidR="00176B1C" w:rsidRPr="00AF148A" w:rsidRDefault="00176B1C" w:rsidP="00176B1C">
      <w:pPr>
        <w:rPr>
          <w:rFonts w:ascii="Verdana" w:hAnsi="Verdana"/>
        </w:rPr>
      </w:pPr>
    </w:p>
    <w:p w14:paraId="08A41D4A" w14:textId="30EB696D" w:rsidR="00176B1C" w:rsidRDefault="00176B1C" w:rsidP="00176B1C">
      <w:pPr>
        <w:rPr>
          <w:rFonts w:ascii="Verdana" w:hAnsi="Verdana"/>
        </w:rPr>
      </w:pPr>
      <w:r w:rsidRPr="00AF148A">
        <w:rPr>
          <w:rFonts w:ascii="Verdana" w:hAnsi="Verdana"/>
        </w:rPr>
        <w:t xml:space="preserve">The </w:t>
      </w:r>
      <w:r>
        <w:rPr>
          <w:rFonts w:ascii="Verdana" w:hAnsi="Verdana"/>
        </w:rPr>
        <w:t>outcome</w:t>
      </w:r>
      <w:r w:rsidRPr="00AF148A">
        <w:rPr>
          <w:rFonts w:ascii="Verdana" w:hAnsi="Verdana"/>
        </w:rPr>
        <w:t xml:space="preserve">s that </w:t>
      </w:r>
      <w:r>
        <w:rPr>
          <w:rFonts w:ascii="Verdana" w:hAnsi="Verdana"/>
        </w:rPr>
        <w:t>Social Landlords</w:t>
      </w:r>
      <w:r w:rsidRPr="00AF148A">
        <w:rPr>
          <w:rFonts w:ascii="Verdana" w:hAnsi="Verdana"/>
        </w:rPr>
        <w:t xml:space="preserve"> </w:t>
      </w:r>
      <w:r>
        <w:rPr>
          <w:rFonts w:ascii="Verdana" w:hAnsi="Verdana"/>
        </w:rPr>
        <w:t xml:space="preserve">are expected to </w:t>
      </w:r>
      <w:r w:rsidRPr="00AF148A">
        <w:rPr>
          <w:rFonts w:ascii="Verdana" w:hAnsi="Verdana"/>
        </w:rPr>
        <w:t xml:space="preserve">support </w:t>
      </w:r>
      <w:r w:rsidR="000A06F7" w:rsidRPr="00AF148A">
        <w:rPr>
          <w:rFonts w:ascii="Verdana" w:hAnsi="Verdana"/>
        </w:rPr>
        <w:t>using</w:t>
      </w:r>
      <w:r w:rsidRPr="00AF148A">
        <w:rPr>
          <w:rFonts w:ascii="Verdana" w:hAnsi="Verdana"/>
        </w:rPr>
        <w:t xml:space="preserve"> social housing tenancies are:</w:t>
      </w:r>
    </w:p>
    <w:p w14:paraId="1B046592" w14:textId="77777777" w:rsidR="00176B1C" w:rsidRDefault="00176B1C" w:rsidP="00176B1C">
      <w:pPr>
        <w:pStyle w:val="Default"/>
      </w:pPr>
    </w:p>
    <w:p w14:paraId="12B942AC" w14:textId="19AE2654" w:rsidR="00176B1C" w:rsidRPr="00EA7831" w:rsidRDefault="00822874" w:rsidP="00176B1C">
      <w:pPr>
        <w:pStyle w:val="Default"/>
        <w:numPr>
          <w:ilvl w:val="0"/>
          <w:numId w:val="24"/>
        </w:numPr>
        <w:spacing w:after="21"/>
        <w:rPr>
          <w:rFonts w:ascii="Verdana" w:hAnsi="Verdana" w:cs="Verdana"/>
        </w:rPr>
      </w:pPr>
      <w:r>
        <w:rPr>
          <w:rFonts w:ascii="Verdana" w:hAnsi="Verdana" w:cs="Verdana"/>
        </w:rPr>
        <w:t>Enabling h</w:t>
      </w:r>
      <w:r w:rsidR="00176B1C" w:rsidRPr="00EA7831">
        <w:rPr>
          <w:rFonts w:ascii="Verdana" w:hAnsi="Verdana" w:cs="Verdana"/>
        </w:rPr>
        <w:t xml:space="preserve">ouseholds to have a stable and secure home life. </w:t>
      </w:r>
    </w:p>
    <w:p w14:paraId="683F6F8A" w14:textId="5FCEC5D1" w:rsidR="00176B1C" w:rsidRPr="00EA7831" w:rsidRDefault="00176B1C" w:rsidP="00176B1C">
      <w:pPr>
        <w:pStyle w:val="Default"/>
        <w:numPr>
          <w:ilvl w:val="0"/>
          <w:numId w:val="24"/>
        </w:numPr>
        <w:spacing w:after="21"/>
        <w:rPr>
          <w:rFonts w:ascii="Verdana" w:hAnsi="Verdana" w:cs="Verdana"/>
        </w:rPr>
      </w:pPr>
      <w:r w:rsidRPr="00EA7831">
        <w:rPr>
          <w:rFonts w:ascii="Verdana" w:hAnsi="Verdana" w:cs="Verdana"/>
        </w:rPr>
        <w:t>E</w:t>
      </w:r>
      <w:r w:rsidR="00FB1CAC">
        <w:rPr>
          <w:rFonts w:ascii="Verdana" w:hAnsi="Verdana" w:cs="Verdana"/>
        </w:rPr>
        <w:t>nabling e</w:t>
      </w:r>
      <w:r w:rsidRPr="00EA7831">
        <w:rPr>
          <w:rFonts w:ascii="Verdana" w:hAnsi="Verdana" w:cs="Verdana"/>
        </w:rPr>
        <w:t xml:space="preserve">xisting and prospective tenants to be better able to improve their economic circumstances. </w:t>
      </w:r>
    </w:p>
    <w:p w14:paraId="64A6DDAB" w14:textId="11F22B80" w:rsidR="00176B1C" w:rsidRPr="00EA7831" w:rsidRDefault="00D44993" w:rsidP="00176B1C">
      <w:pPr>
        <w:pStyle w:val="Default"/>
        <w:numPr>
          <w:ilvl w:val="0"/>
          <w:numId w:val="24"/>
        </w:numPr>
        <w:spacing w:after="21"/>
        <w:rPr>
          <w:rFonts w:ascii="Verdana" w:hAnsi="Verdana" w:cs="Verdana"/>
        </w:rPr>
      </w:pPr>
      <w:r>
        <w:rPr>
          <w:rFonts w:ascii="Verdana" w:hAnsi="Verdana" w:cs="Verdana"/>
        </w:rPr>
        <w:t>Protecting</w:t>
      </w:r>
      <w:r w:rsidR="00FB1CAC">
        <w:rPr>
          <w:rFonts w:ascii="Verdana" w:hAnsi="Verdana" w:cs="Verdana"/>
        </w:rPr>
        <w:t xml:space="preserve"> v</w:t>
      </w:r>
      <w:r w:rsidR="00176B1C" w:rsidRPr="00EA7831">
        <w:rPr>
          <w:rFonts w:ascii="Verdana" w:hAnsi="Verdana" w:cs="Verdana"/>
        </w:rPr>
        <w:t xml:space="preserve">ulnerable households. </w:t>
      </w:r>
    </w:p>
    <w:p w14:paraId="7092CF78" w14:textId="0FA25EB4" w:rsidR="00176B1C" w:rsidRPr="00EA7831" w:rsidRDefault="00D44993" w:rsidP="00176B1C">
      <w:pPr>
        <w:pStyle w:val="Default"/>
        <w:numPr>
          <w:ilvl w:val="0"/>
          <w:numId w:val="24"/>
        </w:numPr>
        <w:spacing w:after="21"/>
        <w:rPr>
          <w:rFonts w:ascii="Verdana" w:hAnsi="Verdana" w:cs="Verdana"/>
        </w:rPr>
      </w:pPr>
      <w:r>
        <w:rPr>
          <w:rFonts w:ascii="Verdana" w:hAnsi="Verdana" w:cs="Verdana"/>
        </w:rPr>
        <w:t xml:space="preserve">Creating, supporting and maintaining </w:t>
      </w:r>
      <w:r w:rsidR="00FB1CAC">
        <w:rPr>
          <w:rFonts w:ascii="Verdana" w:hAnsi="Verdana" w:cs="Verdana"/>
        </w:rPr>
        <w:t>s</w:t>
      </w:r>
      <w:r w:rsidR="00176B1C" w:rsidRPr="00EA7831">
        <w:rPr>
          <w:rFonts w:ascii="Verdana" w:hAnsi="Verdana" w:cs="Verdana"/>
        </w:rPr>
        <w:t xml:space="preserve">ustainable communities to be. </w:t>
      </w:r>
    </w:p>
    <w:p w14:paraId="4B2E3371" w14:textId="4DDD6C0B" w:rsidR="00176B1C" w:rsidRPr="00EA7831" w:rsidRDefault="00D44993" w:rsidP="00176B1C">
      <w:pPr>
        <w:pStyle w:val="Default"/>
        <w:numPr>
          <w:ilvl w:val="0"/>
          <w:numId w:val="24"/>
        </w:numPr>
        <w:spacing w:after="21"/>
        <w:rPr>
          <w:rFonts w:ascii="Verdana" w:hAnsi="Verdana" w:cs="Verdana"/>
        </w:rPr>
      </w:pPr>
      <w:r>
        <w:rPr>
          <w:rFonts w:ascii="Verdana" w:hAnsi="Verdana" w:cs="Verdana"/>
        </w:rPr>
        <w:t>Supporting and underpinning t</w:t>
      </w:r>
      <w:r w:rsidR="00176B1C" w:rsidRPr="00EA7831">
        <w:rPr>
          <w:rFonts w:ascii="Verdana" w:hAnsi="Verdana" w:cs="Verdana"/>
        </w:rPr>
        <w:t xml:space="preserve">he economic viability of. </w:t>
      </w:r>
    </w:p>
    <w:p w14:paraId="467851D6" w14:textId="0C30A424" w:rsidR="00176B1C" w:rsidRPr="00EA7831" w:rsidRDefault="00D44993" w:rsidP="00176B1C">
      <w:pPr>
        <w:pStyle w:val="Default"/>
        <w:numPr>
          <w:ilvl w:val="0"/>
          <w:numId w:val="24"/>
        </w:numPr>
        <w:spacing w:after="21"/>
        <w:rPr>
          <w:rFonts w:ascii="Verdana" w:hAnsi="Verdana" w:cs="Verdana"/>
        </w:rPr>
      </w:pPr>
      <w:r>
        <w:rPr>
          <w:rFonts w:ascii="Verdana" w:hAnsi="Verdana" w:cs="Verdana"/>
        </w:rPr>
        <w:t>Enabling l</w:t>
      </w:r>
      <w:r w:rsidR="00176B1C" w:rsidRPr="00EA7831">
        <w:rPr>
          <w:rFonts w:ascii="Verdana" w:hAnsi="Verdana" w:cs="Verdana"/>
        </w:rPr>
        <w:t xml:space="preserve">ocal households to be better able to meet their current and future housing needs. </w:t>
      </w:r>
    </w:p>
    <w:p w14:paraId="10E86C24" w14:textId="22C1F15C" w:rsidR="00176B1C" w:rsidRPr="00EA7831" w:rsidRDefault="00D44993" w:rsidP="00176B1C">
      <w:pPr>
        <w:pStyle w:val="Default"/>
        <w:numPr>
          <w:ilvl w:val="0"/>
          <w:numId w:val="24"/>
        </w:numPr>
        <w:spacing w:after="21"/>
        <w:rPr>
          <w:rFonts w:ascii="Verdana" w:hAnsi="Verdana" w:cs="Verdana"/>
        </w:rPr>
      </w:pPr>
      <w:r>
        <w:rPr>
          <w:rFonts w:ascii="Verdana" w:hAnsi="Verdana" w:cs="Verdana"/>
        </w:rPr>
        <w:t>Using s</w:t>
      </w:r>
      <w:r w:rsidR="00176B1C" w:rsidRPr="00EA7831">
        <w:rPr>
          <w:rFonts w:ascii="Verdana" w:hAnsi="Verdana" w:cs="Verdana"/>
        </w:rPr>
        <w:t>ocial housing in an equitable way to promote social mobility</w:t>
      </w:r>
      <w:r w:rsidR="00F21E79">
        <w:rPr>
          <w:rFonts w:ascii="Verdana" w:hAnsi="Verdana" w:cs="Verdana"/>
        </w:rPr>
        <w:t xml:space="preserve"> and</w:t>
      </w:r>
      <w:r w:rsidR="00176B1C" w:rsidRPr="00EA7831">
        <w:rPr>
          <w:rFonts w:ascii="Verdana" w:hAnsi="Verdana" w:cs="Verdana"/>
        </w:rPr>
        <w:t xml:space="preserve"> financial inclusion and </w:t>
      </w:r>
      <w:r w:rsidR="00F21E79">
        <w:rPr>
          <w:rFonts w:ascii="Verdana" w:hAnsi="Verdana" w:cs="Verdana"/>
        </w:rPr>
        <w:t xml:space="preserve">to </w:t>
      </w:r>
      <w:r w:rsidR="00176B1C" w:rsidRPr="00EA7831">
        <w:rPr>
          <w:rFonts w:ascii="Verdana" w:hAnsi="Verdana" w:cs="Verdana"/>
        </w:rPr>
        <w:t>reduce under</w:t>
      </w:r>
      <w:r w:rsidR="00F21E79">
        <w:rPr>
          <w:rFonts w:ascii="Verdana" w:hAnsi="Verdana" w:cs="Verdana"/>
        </w:rPr>
        <w:t>-</w:t>
      </w:r>
      <w:r w:rsidR="00176B1C" w:rsidRPr="00EA7831">
        <w:rPr>
          <w:rFonts w:ascii="Verdana" w:hAnsi="Verdana" w:cs="Verdana"/>
        </w:rPr>
        <w:t xml:space="preserve">occupation and overcrowding. </w:t>
      </w:r>
    </w:p>
    <w:p w14:paraId="3F895C0C" w14:textId="7AA69659" w:rsidR="00312E97" w:rsidRPr="00312E97" w:rsidRDefault="00825976" w:rsidP="00176B1C">
      <w:pPr>
        <w:pStyle w:val="Default"/>
        <w:numPr>
          <w:ilvl w:val="0"/>
          <w:numId w:val="24"/>
        </w:numPr>
        <w:rPr>
          <w:rFonts w:ascii="Verdana" w:hAnsi="Verdana" w:cs="Verdana"/>
          <w:sz w:val="23"/>
          <w:szCs w:val="23"/>
        </w:rPr>
      </w:pPr>
      <w:r>
        <w:rPr>
          <w:rFonts w:ascii="Verdana" w:hAnsi="Verdana" w:cs="Verdana"/>
        </w:rPr>
        <w:lastRenderedPageBreak/>
        <w:t>Supporting i</w:t>
      </w:r>
      <w:r w:rsidR="00176B1C" w:rsidRPr="00EA7831">
        <w:rPr>
          <w:rFonts w:ascii="Verdana" w:hAnsi="Verdana" w:cs="Verdana"/>
        </w:rPr>
        <w:t xml:space="preserve">nvestment in affordable housing </w:t>
      </w:r>
      <w:r w:rsidR="0025703E" w:rsidRPr="00EA7831">
        <w:rPr>
          <w:rFonts w:ascii="Verdana" w:hAnsi="Verdana" w:cs="Verdana"/>
        </w:rPr>
        <w:t xml:space="preserve">in Warwickshire </w:t>
      </w:r>
      <w:r w:rsidR="00176B1C" w:rsidRPr="00EA7831">
        <w:rPr>
          <w:rFonts w:ascii="Verdana" w:hAnsi="Verdana" w:cs="Verdana"/>
        </w:rPr>
        <w:t>where it is needed.</w:t>
      </w:r>
    </w:p>
    <w:p w14:paraId="139D1054" w14:textId="7C8002E4" w:rsidR="00176B1C" w:rsidRPr="00C804CF" w:rsidRDefault="00825976" w:rsidP="00176B1C">
      <w:pPr>
        <w:pStyle w:val="Default"/>
        <w:numPr>
          <w:ilvl w:val="0"/>
          <w:numId w:val="24"/>
        </w:numPr>
        <w:rPr>
          <w:rFonts w:ascii="Verdana" w:hAnsi="Verdana" w:cs="Verdana"/>
          <w:color w:val="auto"/>
          <w:sz w:val="23"/>
          <w:szCs w:val="23"/>
        </w:rPr>
      </w:pPr>
      <w:r>
        <w:rPr>
          <w:rFonts w:ascii="Verdana" w:hAnsi="Verdana" w:cs="Verdana"/>
          <w:color w:val="auto"/>
        </w:rPr>
        <w:t>Preventing or relieving h</w:t>
      </w:r>
      <w:r w:rsidR="00312E97" w:rsidRPr="00C804CF">
        <w:rPr>
          <w:rFonts w:ascii="Verdana" w:hAnsi="Verdana" w:cs="Verdana"/>
          <w:color w:val="auto"/>
        </w:rPr>
        <w:t>omelessness</w:t>
      </w:r>
      <w:r>
        <w:rPr>
          <w:rFonts w:ascii="Verdana" w:hAnsi="Verdana" w:cs="Verdana"/>
          <w:color w:val="auto"/>
        </w:rPr>
        <w:t>,</w:t>
      </w:r>
      <w:r w:rsidR="00312E97" w:rsidRPr="00C804CF">
        <w:rPr>
          <w:rFonts w:ascii="Verdana" w:hAnsi="Verdana" w:cs="Verdana"/>
          <w:color w:val="auto"/>
        </w:rPr>
        <w:t xml:space="preserve"> wherever possible.</w:t>
      </w:r>
      <w:r w:rsidR="00176B1C" w:rsidRPr="00C804CF">
        <w:rPr>
          <w:rFonts w:ascii="Verdana" w:hAnsi="Verdana" w:cs="Verdana"/>
          <w:color w:val="auto"/>
          <w:sz w:val="23"/>
          <w:szCs w:val="23"/>
        </w:rPr>
        <w:t xml:space="preserve"> </w:t>
      </w:r>
    </w:p>
    <w:bookmarkEnd w:id="4"/>
    <w:p w14:paraId="0B882370" w14:textId="77777777" w:rsidR="00176B1C" w:rsidRDefault="00176B1C" w:rsidP="00176B1C">
      <w:pPr>
        <w:rPr>
          <w:rFonts w:ascii="Verdana" w:hAnsi="Verdana"/>
        </w:rPr>
      </w:pPr>
    </w:p>
    <w:p w14:paraId="00C426A8" w14:textId="77777777" w:rsidR="00240659" w:rsidRDefault="00240659">
      <w:pPr>
        <w:rPr>
          <w:rFonts w:ascii="Verdana" w:hAnsi="Verdana"/>
          <w:b/>
          <w:sz w:val="28"/>
          <w:szCs w:val="28"/>
        </w:rPr>
      </w:pPr>
      <w:r>
        <w:rPr>
          <w:rFonts w:ascii="Verdana" w:hAnsi="Verdana"/>
          <w:b/>
          <w:sz w:val="28"/>
          <w:szCs w:val="28"/>
        </w:rPr>
        <w:br w:type="page"/>
      </w:r>
    </w:p>
    <w:p w14:paraId="000B9988" w14:textId="2C07D238" w:rsidR="005522F4" w:rsidRPr="005522F4" w:rsidRDefault="00176B1C" w:rsidP="00682AB0">
      <w:pPr>
        <w:rPr>
          <w:rFonts w:ascii="Verdana" w:hAnsi="Verdana"/>
          <w:b/>
          <w:sz w:val="28"/>
          <w:szCs w:val="28"/>
        </w:rPr>
      </w:pPr>
      <w:bookmarkStart w:id="5" w:name="_Hlk143625020"/>
      <w:r>
        <w:rPr>
          <w:rFonts w:ascii="Verdana" w:hAnsi="Verdana"/>
          <w:b/>
          <w:sz w:val="28"/>
          <w:szCs w:val="28"/>
        </w:rPr>
        <w:lastRenderedPageBreak/>
        <w:t>3</w:t>
      </w:r>
      <w:r w:rsidR="005522F4" w:rsidRPr="005522F4">
        <w:rPr>
          <w:rFonts w:ascii="Verdana" w:hAnsi="Verdana"/>
          <w:b/>
          <w:sz w:val="28"/>
          <w:szCs w:val="28"/>
        </w:rPr>
        <w:tab/>
        <w:t xml:space="preserve">The </w:t>
      </w:r>
      <w:r w:rsidR="00661B6C">
        <w:rPr>
          <w:rFonts w:ascii="Verdana" w:hAnsi="Verdana"/>
          <w:b/>
          <w:sz w:val="28"/>
          <w:szCs w:val="28"/>
        </w:rPr>
        <w:t xml:space="preserve">framework for </w:t>
      </w:r>
      <w:r w:rsidR="00984B8E">
        <w:rPr>
          <w:rFonts w:ascii="Verdana" w:hAnsi="Verdana"/>
          <w:b/>
          <w:sz w:val="28"/>
          <w:szCs w:val="28"/>
        </w:rPr>
        <w:t>T</w:t>
      </w:r>
      <w:r w:rsidR="00661B6C">
        <w:rPr>
          <w:rFonts w:ascii="Verdana" w:hAnsi="Verdana"/>
          <w:b/>
          <w:sz w:val="28"/>
          <w:szCs w:val="28"/>
        </w:rPr>
        <w:t>enanc</w:t>
      </w:r>
      <w:r w:rsidR="00803B64">
        <w:rPr>
          <w:rFonts w:ascii="Verdana" w:hAnsi="Verdana"/>
          <w:b/>
          <w:sz w:val="28"/>
          <w:szCs w:val="28"/>
        </w:rPr>
        <w:t>y</w:t>
      </w:r>
      <w:r w:rsidR="00661B6C">
        <w:rPr>
          <w:rFonts w:ascii="Verdana" w:hAnsi="Verdana"/>
          <w:b/>
          <w:sz w:val="28"/>
          <w:szCs w:val="28"/>
        </w:rPr>
        <w:t xml:space="preserve"> </w:t>
      </w:r>
      <w:r w:rsidR="00BA3076">
        <w:rPr>
          <w:rFonts w:ascii="Verdana" w:hAnsi="Verdana"/>
          <w:b/>
          <w:sz w:val="28"/>
          <w:szCs w:val="28"/>
        </w:rPr>
        <w:t>strategies</w:t>
      </w:r>
    </w:p>
    <w:p w14:paraId="580DA71C" w14:textId="77777777" w:rsidR="00C703C8" w:rsidRDefault="00C703C8" w:rsidP="00C703C8">
      <w:pPr>
        <w:rPr>
          <w:rFonts w:ascii="Verdana" w:hAnsi="Verdana"/>
        </w:rPr>
      </w:pPr>
    </w:p>
    <w:p w14:paraId="1ED0C50F" w14:textId="77777777" w:rsidR="00E40DCC" w:rsidRDefault="00176B1C" w:rsidP="003A1E46">
      <w:pPr>
        <w:rPr>
          <w:rFonts w:ascii="Verdana" w:hAnsi="Verdana"/>
          <w:b/>
        </w:rPr>
      </w:pPr>
      <w:r>
        <w:rPr>
          <w:rFonts w:ascii="Verdana" w:hAnsi="Verdana"/>
          <w:b/>
        </w:rPr>
        <w:t>3</w:t>
      </w:r>
      <w:r w:rsidR="00E40DCC" w:rsidRPr="00E40DCC">
        <w:rPr>
          <w:rFonts w:ascii="Verdana" w:hAnsi="Verdana"/>
          <w:b/>
        </w:rPr>
        <w:t>.1</w:t>
      </w:r>
      <w:r w:rsidR="00E40DCC" w:rsidRPr="00E40DCC">
        <w:rPr>
          <w:rFonts w:ascii="Verdana" w:hAnsi="Verdana"/>
          <w:b/>
        </w:rPr>
        <w:tab/>
        <w:t>Legislation</w:t>
      </w:r>
    </w:p>
    <w:p w14:paraId="3DB6267E" w14:textId="77777777" w:rsidR="007436C3" w:rsidRPr="00E40DCC" w:rsidRDefault="007436C3" w:rsidP="003A1E46">
      <w:pPr>
        <w:rPr>
          <w:rFonts w:ascii="Verdana" w:hAnsi="Verdana"/>
          <w:b/>
        </w:rPr>
      </w:pPr>
    </w:p>
    <w:p w14:paraId="4A24A2A5" w14:textId="5CC731C0" w:rsidR="00AA2551" w:rsidRPr="00AF148A" w:rsidRDefault="00C703C8" w:rsidP="003A1E46">
      <w:pPr>
        <w:rPr>
          <w:rFonts w:ascii="Verdana" w:hAnsi="Verdana"/>
        </w:rPr>
      </w:pPr>
      <w:r>
        <w:rPr>
          <w:rFonts w:ascii="Verdana" w:hAnsi="Verdana"/>
        </w:rPr>
        <w:t xml:space="preserve">The </w:t>
      </w:r>
      <w:r w:rsidR="00FA1230">
        <w:rPr>
          <w:rFonts w:ascii="Verdana" w:hAnsi="Verdana"/>
        </w:rPr>
        <w:t xml:space="preserve">Localism </w:t>
      </w:r>
      <w:r>
        <w:rPr>
          <w:rFonts w:ascii="Verdana" w:hAnsi="Verdana"/>
        </w:rPr>
        <w:t xml:space="preserve">Act </w:t>
      </w:r>
      <w:r w:rsidR="00FA1230">
        <w:rPr>
          <w:rFonts w:ascii="Verdana" w:hAnsi="Verdana"/>
        </w:rPr>
        <w:t>2011</w:t>
      </w:r>
      <w:r w:rsidR="0071344C">
        <w:rPr>
          <w:rFonts w:ascii="Verdana" w:hAnsi="Verdana"/>
        </w:rPr>
        <w:t xml:space="preserve"> </w:t>
      </w:r>
      <w:r w:rsidR="00C802B7">
        <w:rPr>
          <w:rFonts w:ascii="Verdana" w:hAnsi="Verdana"/>
        </w:rPr>
        <w:t xml:space="preserve">(“the </w:t>
      </w:r>
      <w:r w:rsidR="0071344C">
        <w:rPr>
          <w:rFonts w:ascii="Verdana" w:hAnsi="Verdana"/>
        </w:rPr>
        <w:t>Act</w:t>
      </w:r>
      <w:r w:rsidR="00C802B7">
        <w:rPr>
          <w:rFonts w:ascii="Verdana" w:hAnsi="Verdana"/>
        </w:rPr>
        <w:t>”)</w:t>
      </w:r>
      <w:r w:rsidR="00FA1230">
        <w:rPr>
          <w:rFonts w:ascii="Verdana" w:hAnsi="Verdana"/>
        </w:rPr>
        <w:t xml:space="preserve"> </w:t>
      </w:r>
      <w:r>
        <w:rPr>
          <w:rFonts w:ascii="Verdana" w:hAnsi="Verdana"/>
        </w:rPr>
        <w:t xml:space="preserve">states that a Tenancy Strategy must set out </w:t>
      </w:r>
      <w:r w:rsidRPr="00A63AA2">
        <w:rPr>
          <w:rFonts w:ascii="Verdana" w:hAnsi="Verdana"/>
          <w:bCs/>
        </w:rPr>
        <w:t xml:space="preserve">the matters that all </w:t>
      </w:r>
      <w:r w:rsidR="00F804DC">
        <w:rPr>
          <w:rFonts w:ascii="Verdana" w:hAnsi="Verdana"/>
          <w:bCs/>
        </w:rPr>
        <w:t>Public Registered Providers</w:t>
      </w:r>
      <w:r w:rsidRPr="00A63AA2">
        <w:rPr>
          <w:rFonts w:ascii="Verdana" w:hAnsi="Verdana"/>
          <w:bCs/>
        </w:rPr>
        <w:t xml:space="preserve"> and Private Registered Providers (</w:t>
      </w:r>
      <w:r w:rsidR="0062016A">
        <w:rPr>
          <w:rFonts w:ascii="Verdana" w:hAnsi="Verdana"/>
          <w:bCs/>
        </w:rPr>
        <w:t xml:space="preserve">collectively referred to in this strategy as </w:t>
      </w:r>
      <w:r w:rsidRPr="00A63AA2">
        <w:rPr>
          <w:rFonts w:ascii="Verdana" w:hAnsi="Verdana"/>
          <w:bCs/>
        </w:rPr>
        <w:t xml:space="preserve">“Social Landlords”) with rented housing stock in </w:t>
      </w:r>
      <w:r>
        <w:rPr>
          <w:rFonts w:ascii="Verdana" w:hAnsi="Verdana"/>
          <w:bCs/>
        </w:rPr>
        <w:t xml:space="preserve">the area covered by the strategy </w:t>
      </w:r>
      <w:r w:rsidRPr="00A63AA2">
        <w:rPr>
          <w:rFonts w:ascii="Verdana" w:hAnsi="Verdana"/>
          <w:bCs/>
        </w:rPr>
        <w:t xml:space="preserve">must </w:t>
      </w:r>
      <w:r>
        <w:rPr>
          <w:rFonts w:ascii="Verdana" w:hAnsi="Verdana"/>
          <w:bCs/>
        </w:rPr>
        <w:t>“have regard” to</w:t>
      </w:r>
      <w:r w:rsidRPr="00A63AA2">
        <w:rPr>
          <w:rFonts w:ascii="Verdana" w:hAnsi="Verdana"/>
          <w:bCs/>
        </w:rPr>
        <w:t xml:space="preserve"> when framing their policies </w:t>
      </w:r>
      <w:r w:rsidR="00AA2551" w:rsidRPr="00AF148A">
        <w:rPr>
          <w:rFonts w:ascii="Verdana" w:hAnsi="Verdana"/>
        </w:rPr>
        <w:t>relating to:</w:t>
      </w:r>
    </w:p>
    <w:p w14:paraId="7A8077BE" w14:textId="77777777" w:rsidR="004E7D5F" w:rsidRPr="00AF148A" w:rsidRDefault="004E7D5F" w:rsidP="004E7D5F">
      <w:pPr>
        <w:rPr>
          <w:rFonts w:ascii="Verdana" w:hAnsi="Verdana"/>
          <w:b/>
        </w:rPr>
      </w:pPr>
    </w:p>
    <w:p w14:paraId="2D7EB221" w14:textId="1673B7BC" w:rsidR="004E7D5F" w:rsidRPr="00AF148A" w:rsidRDefault="0066570B" w:rsidP="004E7D5F">
      <w:pPr>
        <w:numPr>
          <w:ilvl w:val="0"/>
          <w:numId w:val="1"/>
        </w:numPr>
        <w:rPr>
          <w:rFonts w:ascii="Verdana" w:hAnsi="Verdana"/>
        </w:rPr>
      </w:pPr>
      <w:r>
        <w:rPr>
          <w:rFonts w:ascii="Verdana" w:hAnsi="Verdana"/>
        </w:rPr>
        <w:t>The Types</w:t>
      </w:r>
      <w:r w:rsidR="004E7D5F" w:rsidRPr="00AF148A">
        <w:rPr>
          <w:rFonts w:ascii="Verdana" w:hAnsi="Verdana"/>
        </w:rPr>
        <w:t xml:space="preserve"> of tenancies that they </w:t>
      </w:r>
      <w:r w:rsidR="00363FD0" w:rsidRPr="00AF148A">
        <w:rPr>
          <w:rFonts w:ascii="Verdana" w:hAnsi="Verdana"/>
        </w:rPr>
        <w:t>grant.</w:t>
      </w:r>
    </w:p>
    <w:p w14:paraId="70846A70" w14:textId="7A8F2DCC" w:rsidR="004E7D5F" w:rsidRDefault="00225CF6" w:rsidP="004E7D5F">
      <w:pPr>
        <w:numPr>
          <w:ilvl w:val="0"/>
          <w:numId w:val="1"/>
        </w:numPr>
        <w:rPr>
          <w:rFonts w:ascii="Verdana" w:hAnsi="Verdana"/>
        </w:rPr>
      </w:pPr>
      <w:r>
        <w:rPr>
          <w:rFonts w:ascii="Verdana" w:hAnsi="Verdana"/>
        </w:rPr>
        <w:t>The c</w:t>
      </w:r>
      <w:r w:rsidR="004E7D5F" w:rsidRPr="00AF148A">
        <w:rPr>
          <w:rFonts w:ascii="Verdana" w:hAnsi="Verdana"/>
        </w:rPr>
        <w:t xml:space="preserve">ircumstances in which they will grant a tenancy of a particular </w:t>
      </w:r>
      <w:r w:rsidR="00363FD0">
        <w:rPr>
          <w:rFonts w:ascii="Verdana" w:hAnsi="Verdana"/>
        </w:rPr>
        <w:t>type</w:t>
      </w:r>
      <w:r w:rsidR="00363FD0" w:rsidRPr="00AF148A">
        <w:rPr>
          <w:rFonts w:ascii="Verdana" w:hAnsi="Verdana"/>
        </w:rPr>
        <w:t>.</w:t>
      </w:r>
    </w:p>
    <w:p w14:paraId="22F42B59" w14:textId="77777777" w:rsidR="00AF5D80" w:rsidRPr="00AF148A" w:rsidRDefault="00AF5D80" w:rsidP="004E7D5F">
      <w:pPr>
        <w:numPr>
          <w:ilvl w:val="0"/>
          <w:numId w:val="1"/>
        </w:numPr>
        <w:rPr>
          <w:rFonts w:ascii="Verdana" w:hAnsi="Verdana"/>
        </w:rPr>
      </w:pPr>
      <w:r>
        <w:rPr>
          <w:rFonts w:ascii="Verdana" w:hAnsi="Verdana"/>
        </w:rPr>
        <w:t xml:space="preserve">Where they grant fixed-term tenancies, the length of the terms; and </w:t>
      </w:r>
    </w:p>
    <w:p w14:paraId="0C2FB519" w14:textId="5E6DB360" w:rsidR="004E7D5F" w:rsidRPr="00AF148A" w:rsidRDefault="00225CF6" w:rsidP="004E7D5F">
      <w:pPr>
        <w:numPr>
          <w:ilvl w:val="0"/>
          <w:numId w:val="1"/>
        </w:numPr>
        <w:rPr>
          <w:rFonts w:ascii="Verdana" w:hAnsi="Verdana"/>
        </w:rPr>
      </w:pPr>
      <w:r>
        <w:rPr>
          <w:rFonts w:ascii="Verdana" w:hAnsi="Verdana"/>
        </w:rPr>
        <w:t>The c</w:t>
      </w:r>
      <w:r w:rsidR="00AA2551" w:rsidRPr="00AF148A">
        <w:rPr>
          <w:rFonts w:ascii="Verdana" w:hAnsi="Verdana"/>
        </w:rPr>
        <w:t>ircumstances</w:t>
      </w:r>
      <w:r w:rsidR="004E7D5F" w:rsidRPr="00AF148A">
        <w:rPr>
          <w:rFonts w:ascii="Verdana" w:hAnsi="Verdana"/>
        </w:rPr>
        <w:t xml:space="preserve"> in which they will grant a further tenancy at the end of an existing tenancy.</w:t>
      </w:r>
    </w:p>
    <w:p w14:paraId="1D4349AA" w14:textId="77777777" w:rsidR="00AA2551" w:rsidRPr="00AF148A" w:rsidRDefault="00AA2551" w:rsidP="00AA2551">
      <w:pPr>
        <w:rPr>
          <w:rFonts w:ascii="Verdana" w:hAnsi="Verdana"/>
        </w:rPr>
      </w:pPr>
    </w:p>
    <w:p w14:paraId="396DC078" w14:textId="5A2CB599" w:rsidR="008C21AA" w:rsidRDefault="007436C3" w:rsidP="00AA2551">
      <w:pPr>
        <w:rPr>
          <w:rFonts w:ascii="Verdana" w:hAnsi="Verdana"/>
        </w:rPr>
      </w:pPr>
      <w:r>
        <w:rPr>
          <w:rFonts w:ascii="Verdana" w:hAnsi="Verdana"/>
        </w:rPr>
        <w:t xml:space="preserve">All </w:t>
      </w:r>
      <w:r w:rsidR="00C55F24">
        <w:rPr>
          <w:rFonts w:ascii="Verdana" w:hAnsi="Verdana"/>
        </w:rPr>
        <w:t>S</w:t>
      </w:r>
      <w:r>
        <w:rPr>
          <w:rFonts w:ascii="Verdana" w:hAnsi="Verdana"/>
        </w:rPr>
        <w:t>ocia</w:t>
      </w:r>
      <w:r w:rsidR="008C21AA">
        <w:rPr>
          <w:rFonts w:ascii="Verdana" w:hAnsi="Verdana"/>
        </w:rPr>
        <w:t xml:space="preserve">l </w:t>
      </w:r>
      <w:r w:rsidR="00C55F24">
        <w:rPr>
          <w:rFonts w:ascii="Verdana" w:hAnsi="Verdana"/>
        </w:rPr>
        <w:t>L</w:t>
      </w:r>
      <w:r w:rsidR="008C21AA">
        <w:rPr>
          <w:rFonts w:ascii="Verdana" w:hAnsi="Verdana"/>
        </w:rPr>
        <w:t>andlords must also have regard to the Tenancy Strategy in exercising their housing management functions.</w:t>
      </w:r>
    </w:p>
    <w:p w14:paraId="2E31EA29" w14:textId="77777777" w:rsidR="00225CF6" w:rsidRDefault="00225CF6" w:rsidP="00AA2551">
      <w:pPr>
        <w:rPr>
          <w:rFonts w:ascii="Verdana" w:hAnsi="Verdana"/>
        </w:rPr>
      </w:pPr>
    </w:p>
    <w:p w14:paraId="4D335886" w14:textId="33D98180" w:rsidR="00225CF6" w:rsidRDefault="00225CF6" w:rsidP="00AA2551">
      <w:pPr>
        <w:rPr>
          <w:rFonts w:ascii="Verdana" w:hAnsi="Verdana"/>
        </w:rPr>
      </w:pPr>
      <w:r w:rsidRPr="00225CF6">
        <w:rPr>
          <w:rFonts w:ascii="Verdana" w:hAnsi="Verdana"/>
        </w:rPr>
        <w:t xml:space="preserve">The </w:t>
      </w:r>
      <w:r w:rsidR="00A320E2">
        <w:rPr>
          <w:rFonts w:ascii="Verdana" w:hAnsi="Verdana"/>
        </w:rPr>
        <w:t>Act</w:t>
      </w:r>
      <w:r w:rsidRPr="00225CF6">
        <w:rPr>
          <w:rFonts w:ascii="Verdana" w:hAnsi="Verdana"/>
        </w:rPr>
        <w:t xml:space="preserve"> also </w:t>
      </w:r>
      <w:r w:rsidR="00285707">
        <w:rPr>
          <w:rFonts w:ascii="Verdana" w:hAnsi="Verdana"/>
        </w:rPr>
        <w:t xml:space="preserve">introduced </w:t>
      </w:r>
      <w:r w:rsidRPr="00225CF6">
        <w:rPr>
          <w:rFonts w:ascii="Verdana" w:hAnsi="Verdana"/>
        </w:rPr>
        <w:t>a revised Regulatory Framework and Tenancy Standard (Homes and Communities Agency, 2012) which states that Registered Providers</w:t>
      </w:r>
      <w:r w:rsidR="00BF1305">
        <w:rPr>
          <w:rFonts w:ascii="Verdana" w:hAnsi="Verdana"/>
        </w:rPr>
        <w:t xml:space="preserve"> (Social Landlords)</w:t>
      </w:r>
      <w:r w:rsidRPr="00225CF6">
        <w:rPr>
          <w:rFonts w:ascii="Verdana" w:hAnsi="Verdana"/>
        </w:rPr>
        <w:t xml:space="preserve"> shall let their homes in a fair, transparent and efficient way. They shall </w:t>
      </w:r>
      <w:proofErr w:type="gramStart"/>
      <w:r w:rsidRPr="00225CF6">
        <w:rPr>
          <w:rFonts w:ascii="Verdana" w:hAnsi="Verdana"/>
        </w:rPr>
        <w:t>take into account</w:t>
      </w:r>
      <w:proofErr w:type="gramEnd"/>
      <w:r w:rsidRPr="00225CF6">
        <w:rPr>
          <w:rFonts w:ascii="Verdana" w:hAnsi="Verdana"/>
        </w:rPr>
        <w:t xml:space="preserve"> the housing needs and aspirations of tenants and potential tenants. </w:t>
      </w:r>
      <w:r w:rsidR="00C55F24">
        <w:rPr>
          <w:rFonts w:ascii="Verdana" w:hAnsi="Verdana"/>
        </w:rPr>
        <w:t xml:space="preserve"> Social Landlords</w:t>
      </w:r>
      <w:r w:rsidRPr="00225CF6">
        <w:rPr>
          <w:rFonts w:ascii="Verdana" w:hAnsi="Verdana"/>
        </w:rPr>
        <w:t xml:space="preserve"> shall demonstrate how their lettings: </w:t>
      </w:r>
    </w:p>
    <w:p w14:paraId="05070143" w14:textId="77777777" w:rsidR="00225CF6" w:rsidRDefault="00225CF6" w:rsidP="00AA2551">
      <w:pPr>
        <w:rPr>
          <w:rFonts w:ascii="Verdana" w:hAnsi="Verdana"/>
        </w:rPr>
      </w:pPr>
    </w:p>
    <w:p w14:paraId="2FB0F5FD" w14:textId="6D095C27" w:rsidR="00225CF6" w:rsidRPr="00285707" w:rsidRDefault="00225CF6" w:rsidP="00285707">
      <w:pPr>
        <w:pStyle w:val="ListParagraph"/>
        <w:numPr>
          <w:ilvl w:val="0"/>
          <w:numId w:val="47"/>
        </w:numPr>
        <w:rPr>
          <w:rFonts w:ascii="Verdana" w:hAnsi="Verdana"/>
        </w:rPr>
      </w:pPr>
      <w:r w:rsidRPr="00285707">
        <w:rPr>
          <w:rFonts w:ascii="Verdana" w:hAnsi="Verdana"/>
        </w:rPr>
        <w:t xml:space="preserve">Make the best use of available </w:t>
      </w:r>
      <w:r w:rsidR="00363FD0" w:rsidRPr="00285707">
        <w:rPr>
          <w:rFonts w:ascii="Verdana" w:hAnsi="Verdana"/>
        </w:rPr>
        <w:t>housing.</w:t>
      </w:r>
      <w:r w:rsidRPr="00285707">
        <w:rPr>
          <w:rFonts w:ascii="Verdana" w:hAnsi="Verdana"/>
        </w:rPr>
        <w:t xml:space="preserve"> </w:t>
      </w:r>
    </w:p>
    <w:p w14:paraId="6369F8F1" w14:textId="7F3339C2" w:rsidR="00225CF6" w:rsidRPr="00285707" w:rsidRDefault="00225CF6" w:rsidP="00285707">
      <w:pPr>
        <w:pStyle w:val="ListParagraph"/>
        <w:numPr>
          <w:ilvl w:val="0"/>
          <w:numId w:val="47"/>
        </w:numPr>
        <w:rPr>
          <w:rFonts w:ascii="Verdana" w:hAnsi="Verdana"/>
        </w:rPr>
      </w:pPr>
      <w:r w:rsidRPr="00285707">
        <w:rPr>
          <w:rFonts w:ascii="Verdana" w:hAnsi="Verdana"/>
        </w:rPr>
        <w:t xml:space="preserve">Are compatible with the purpose and the nature of the housing </w:t>
      </w:r>
      <w:r w:rsidR="00363FD0" w:rsidRPr="00285707">
        <w:rPr>
          <w:rFonts w:ascii="Verdana" w:hAnsi="Verdana"/>
        </w:rPr>
        <w:t>offered.</w:t>
      </w:r>
      <w:r w:rsidRPr="00285707">
        <w:rPr>
          <w:rFonts w:ascii="Verdana" w:hAnsi="Verdana"/>
        </w:rPr>
        <w:t xml:space="preserve"> </w:t>
      </w:r>
    </w:p>
    <w:p w14:paraId="76E42768" w14:textId="66270E94" w:rsidR="00225CF6" w:rsidRPr="00285707" w:rsidRDefault="00225CF6" w:rsidP="00285707">
      <w:pPr>
        <w:pStyle w:val="ListParagraph"/>
        <w:numPr>
          <w:ilvl w:val="0"/>
          <w:numId w:val="47"/>
        </w:numPr>
        <w:rPr>
          <w:rFonts w:ascii="Verdana" w:hAnsi="Verdana"/>
        </w:rPr>
      </w:pPr>
      <w:r w:rsidRPr="00285707">
        <w:rPr>
          <w:rFonts w:ascii="Verdana" w:hAnsi="Verdana"/>
        </w:rPr>
        <w:t xml:space="preserve">Contribute to the local authorities’ strategic housing function and sustainable </w:t>
      </w:r>
      <w:r w:rsidR="00363FD0" w:rsidRPr="00285707">
        <w:rPr>
          <w:rFonts w:ascii="Verdana" w:hAnsi="Verdana"/>
        </w:rPr>
        <w:t>communities.</w:t>
      </w:r>
    </w:p>
    <w:p w14:paraId="427DA0E6" w14:textId="77777777" w:rsidR="008C21AA" w:rsidRDefault="008C21AA" w:rsidP="00AA2551">
      <w:pPr>
        <w:rPr>
          <w:rFonts w:ascii="Verdana" w:hAnsi="Verdana"/>
        </w:rPr>
      </w:pPr>
    </w:p>
    <w:p w14:paraId="68926135" w14:textId="20FBFF26" w:rsidR="0093783B" w:rsidRDefault="0093783B" w:rsidP="00AA2551">
      <w:pPr>
        <w:rPr>
          <w:rFonts w:ascii="Verdana" w:hAnsi="Verdana"/>
        </w:rPr>
      </w:pPr>
      <w:r>
        <w:rPr>
          <w:rFonts w:ascii="Verdana" w:hAnsi="Verdana"/>
        </w:rPr>
        <w:t xml:space="preserve">When preparing or modifying a Tenancy Strategy, </w:t>
      </w:r>
      <w:r w:rsidR="00153CE6">
        <w:rPr>
          <w:rFonts w:ascii="Verdana" w:hAnsi="Verdana"/>
        </w:rPr>
        <w:t>the Councils</w:t>
      </w:r>
      <w:r w:rsidR="00AF5D80">
        <w:rPr>
          <w:rFonts w:ascii="Verdana" w:hAnsi="Verdana"/>
        </w:rPr>
        <w:t xml:space="preserve"> </w:t>
      </w:r>
      <w:r>
        <w:rPr>
          <w:rFonts w:ascii="Verdana" w:hAnsi="Verdana"/>
        </w:rPr>
        <w:t xml:space="preserve">are required </w:t>
      </w:r>
      <w:r w:rsidR="00AF5D80">
        <w:rPr>
          <w:rFonts w:ascii="Verdana" w:hAnsi="Verdana"/>
        </w:rPr>
        <w:t>to</w:t>
      </w:r>
      <w:r>
        <w:rPr>
          <w:rFonts w:ascii="Verdana" w:hAnsi="Verdana"/>
        </w:rPr>
        <w:t>:</w:t>
      </w:r>
    </w:p>
    <w:p w14:paraId="52A81D4C" w14:textId="77777777" w:rsidR="00176B1C" w:rsidRDefault="00176B1C" w:rsidP="00AA2551">
      <w:pPr>
        <w:rPr>
          <w:rFonts w:ascii="Verdana" w:hAnsi="Verdana"/>
        </w:rPr>
      </w:pPr>
    </w:p>
    <w:p w14:paraId="1678CDCB" w14:textId="2B17993C" w:rsidR="0093783B" w:rsidRDefault="0093783B" w:rsidP="0093783B">
      <w:pPr>
        <w:pStyle w:val="ListParagraph"/>
        <w:numPr>
          <w:ilvl w:val="0"/>
          <w:numId w:val="22"/>
        </w:numPr>
        <w:rPr>
          <w:rFonts w:ascii="Verdana" w:hAnsi="Verdana"/>
        </w:rPr>
      </w:pPr>
      <w:r w:rsidRPr="0093783B">
        <w:rPr>
          <w:rFonts w:ascii="Verdana" w:hAnsi="Verdana"/>
        </w:rPr>
        <w:t>H</w:t>
      </w:r>
      <w:r w:rsidR="00AF5D80" w:rsidRPr="0093783B">
        <w:rPr>
          <w:rFonts w:ascii="Verdana" w:hAnsi="Verdana"/>
        </w:rPr>
        <w:t>ave regard to the</w:t>
      </w:r>
      <w:r w:rsidR="00F131D9">
        <w:rPr>
          <w:rFonts w:ascii="Verdana" w:hAnsi="Verdana"/>
        </w:rPr>
        <w:t xml:space="preserve">ir current </w:t>
      </w:r>
      <w:r>
        <w:rPr>
          <w:rFonts w:ascii="Verdana" w:hAnsi="Verdana"/>
        </w:rPr>
        <w:t>housing</w:t>
      </w:r>
      <w:r w:rsidR="00AF5D80" w:rsidRPr="0093783B">
        <w:rPr>
          <w:rFonts w:ascii="Verdana" w:hAnsi="Verdana"/>
        </w:rPr>
        <w:t xml:space="preserve"> </w:t>
      </w:r>
      <w:r w:rsidRPr="0093783B">
        <w:rPr>
          <w:rFonts w:ascii="Verdana" w:hAnsi="Verdana"/>
        </w:rPr>
        <w:t>allocations scheme and homelessness strategy</w:t>
      </w:r>
      <w:r>
        <w:rPr>
          <w:rFonts w:ascii="Verdana" w:hAnsi="Verdana"/>
        </w:rPr>
        <w:t xml:space="preserve"> for the</w:t>
      </w:r>
      <w:r w:rsidR="004E1CBD">
        <w:rPr>
          <w:rFonts w:ascii="Verdana" w:hAnsi="Verdana"/>
        </w:rPr>
        <w:t>ir</w:t>
      </w:r>
      <w:r>
        <w:rPr>
          <w:rFonts w:ascii="Verdana" w:hAnsi="Verdana"/>
        </w:rPr>
        <w:t xml:space="preserve"> </w:t>
      </w:r>
      <w:r w:rsidR="00363FD0">
        <w:rPr>
          <w:rFonts w:ascii="Verdana" w:hAnsi="Verdana"/>
        </w:rPr>
        <w:t>area.</w:t>
      </w:r>
    </w:p>
    <w:p w14:paraId="337BAEC7" w14:textId="307B168F" w:rsidR="0093783B" w:rsidRDefault="0093783B" w:rsidP="0093783B">
      <w:pPr>
        <w:pStyle w:val="ListParagraph"/>
        <w:numPr>
          <w:ilvl w:val="0"/>
          <w:numId w:val="22"/>
        </w:numPr>
        <w:rPr>
          <w:rFonts w:ascii="Verdana" w:hAnsi="Verdana"/>
        </w:rPr>
      </w:pPr>
      <w:r>
        <w:rPr>
          <w:rFonts w:ascii="Verdana" w:hAnsi="Verdana"/>
        </w:rPr>
        <w:t xml:space="preserve">Give </w:t>
      </w:r>
      <w:r w:rsidR="00C55F24">
        <w:rPr>
          <w:rFonts w:ascii="Verdana" w:hAnsi="Verdana"/>
        </w:rPr>
        <w:t>“</w:t>
      </w:r>
      <w:r>
        <w:rPr>
          <w:rFonts w:ascii="Verdana" w:hAnsi="Verdana"/>
        </w:rPr>
        <w:t xml:space="preserve">Private Registered </w:t>
      </w:r>
      <w:r w:rsidR="0068050B">
        <w:rPr>
          <w:rFonts w:ascii="Verdana" w:hAnsi="Verdana"/>
        </w:rPr>
        <w:t>P</w:t>
      </w:r>
      <w:r>
        <w:rPr>
          <w:rFonts w:ascii="Verdana" w:hAnsi="Verdana"/>
        </w:rPr>
        <w:t>roviders</w:t>
      </w:r>
      <w:r w:rsidR="00C55F24">
        <w:rPr>
          <w:rFonts w:ascii="Verdana" w:hAnsi="Verdana"/>
        </w:rPr>
        <w:t>”</w:t>
      </w:r>
      <w:r>
        <w:rPr>
          <w:rFonts w:ascii="Verdana" w:hAnsi="Verdana"/>
        </w:rPr>
        <w:t xml:space="preserve"> an opportunity to comment on any proposals </w:t>
      </w:r>
      <w:r w:rsidR="004E1CBD">
        <w:rPr>
          <w:rFonts w:ascii="Verdana" w:hAnsi="Verdana"/>
        </w:rPr>
        <w:t xml:space="preserve">or modifications </w:t>
      </w:r>
      <w:r>
        <w:rPr>
          <w:rFonts w:ascii="Verdana" w:hAnsi="Verdana"/>
        </w:rPr>
        <w:t>before adopting the</w:t>
      </w:r>
      <w:r w:rsidR="0068050B">
        <w:rPr>
          <w:rFonts w:ascii="Verdana" w:hAnsi="Verdana"/>
        </w:rPr>
        <w:t xml:space="preserve"> </w:t>
      </w:r>
      <w:r w:rsidR="004E1CBD">
        <w:rPr>
          <w:rFonts w:ascii="Verdana" w:hAnsi="Verdana"/>
        </w:rPr>
        <w:t>Tenancy S</w:t>
      </w:r>
      <w:r w:rsidR="0068050B">
        <w:rPr>
          <w:rFonts w:ascii="Verdana" w:hAnsi="Verdana"/>
        </w:rPr>
        <w:t>trategy</w:t>
      </w:r>
      <w:r>
        <w:rPr>
          <w:rFonts w:ascii="Verdana" w:hAnsi="Verdana"/>
        </w:rPr>
        <w:t>.</w:t>
      </w:r>
    </w:p>
    <w:p w14:paraId="2AECCD74" w14:textId="77777777" w:rsidR="0093783B" w:rsidRDefault="0093783B" w:rsidP="0093783B">
      <w:pPr>
        <w:rPr>
          <w:rFonts w:ascii="Verdana" w:hAnsi="Verdana"/>
        </w:rPr>
      </w:pPr>
    </w:p>
    <w:bookmarkEnd w:id="5"/>
    <w:p w14:paraId="5796244D" w14:textId="77777777" w:rsidR="00583667" w:rsidRDefault="00583667" w:rsidP="00583667">
      <w:pPr>
        <w:rPr>
          <w:rFonts w:ascii="Verdana" w:hAnsi="Verdana"/>
        </w:rPr>
      </w:pPr>
    </w:p>
    <w:p w14:paraId="35FB92F0" w14:textId="6076F046" w:rsidR="00E40DCC" w:rsidRDefault="00363FD0" w:rsidP="0093783B">
      <w:pPr>
        <w:rPr>
          <w:rFonts w:ascii="Verdana" w:hAnsi="Verdana"/>
          <w:b/>
        </w:rPr>
      </w:pPr>
      <w:bookmarkStart w:id="6" w:name="_Hlk143625110"/>
      <w:r>
        <w:rPr>
          <w:rFonts w:ascii="Verdana" w:hAnsi="Verdana"/>
          <w:b/>
        </w:rPr>
        <w:t>3</w:t>
      </w:r>
      <w:r w:rsidRPr="00E40DCC">
        <w:rPr>
          <w:rFonts w:ascii="Verdana" w:hAnsi="Verdana"/>
          <w:b/>
        </w:rPr>
        <w:t>.</w:t>
      </w:r>
      <w:r>
        <w:rPr>
          <w:rFonts w:ascii="Verdana" w:hAnsi="Verdana"/>
          <w:b/>
        </w:rPr>
        <w:t>2 Additional</w:t>
      </w:r>
      <w:r w:rsidR="00FA1230">
        <w:rPr>
          <w:rFonts w:ascii="Verdana" w:hAnsi="Verdana"/>
          <w:b/>
        </w:rPr>
        <w:t xml:space="preserve"> </w:t>
      </w:r>
      <w:r w:rsidR="00E40DCC" w:rsidRPr="00E40DCC">
        <w:rPr>
          <w:rFonts w:ascii="Verdana" w:hAnsi="Verdana"/>
          <w:b/>
        </w:rPr>
        <w:t>Regulation</w:t>
      </w:r>
    </w:p>
    <w:p w14:paraId="2460BBBB" w14:textId="77777777" w:rsidR="007436C3" w:rsidRPr="00E40DCC" w:rsidRDefault="007436C3" w:rsidP="0093783B">
      <w:pPr>
        <w:rPr>
          <w:rFonts w:ascii="Verdana" w:hAnsi="Verdana"/>
          <w:b/>
        </w:rPr>
      </w:pPr>
    </w:p>
    <w:p w14:paraId="315201D2" w14:textId="1A68E181" w:rsidR="009916A6" w:rsidRDefault="00DA7C07" w:rsidP="009916A6">
      <w:pPr>
        <w:rPr>
          <w:rFonts w:ascii="Verdana" w:hAnsi="Verdana"/>
        </w:rPr>
      </w:pPr>
      <w:bookmarkStart w:id="7" w:name="_Hlk143620250"/>
      <w:r>
        <w:rPr>
          <w:rFonts w:ascii="Verdana" w:hAnsi="Verdana"/>
        </w:rPr>
        <w:t xml:space="preserve">The </w:t>
      </w:r>
      <w:r w:rsidR="007E4C2F">
        <w:rPr>
          <w:rFonts w:ascii="Verdana" w:hAnsi="Verdana"/>
        </w:rPr>
        <w:t xml:space="preserve">Act </w:t>
      </w:r>
      <w:r w:rsidR="00FE7A14">
        <w:rPr>
          <w:rFonts w:ascii="Verdana" w:hAnsi="Verdana"/>
        </w:rPr>
        <w:t xml:space="preserve">enabled </w:t>
      </w:r>
      <w:r>
        <w:rPr>
          <w:rFonts w:ascii="Verdana" w:hAnsi="Verdana"/>
        </w:rPr>
        <w:t xml:space="preserve">the Secretary of State to give directions to the Regulator of Social Housing </w:t>
      </w:r>
      <w:r w:rsidR="008D5D53">
        <w:rPr>
          <w:rFonts w:ascii="Verdana" w:hAnsi="Verdana"/>
        </w:rPr>
        <w:t xml:space="preserve">regarding social housing </w:t>
      </w:r>
      <w:r>
        <w:rPr>
          <w:rFonts w:ascii="Verdana" w:hAnsi="Verdana"/>
        </w:rPr>
        <w:t xml:space="preserve">tenure and this </w:t>
      </w:r>
      <w:r w:rsidR="008D5D53">
        <w:rPr>
          <w:rFonts w:ascii="Verdana" w:hAnsi="Verdana"/>
        </w:rPr>
        <w:t xml:space="preserve">led to the development </w:t>
      </w:r>
      <w:r w:rsidR="00363FD0">
        <w:rPr>
          <w:rFonts w:ascii="Verdana" w:hAnsi="Verdana"/>
        </w:rPr>
        <w:t>of The</w:t>
      </w:r>
      <w:r>
        <w:rPr>
          <w:rFonts w:ascii="Verdana" w:hAnsi="Verdana"/>
        </w:rPr>
        <w:t xml:space="preserve"> Tenancy Standard – 2015</w:t>
      </w:r>
      <w:r w:rsidR="00947825">
        <w:rPr>
          <w:rFonts w:ascii="Verdana" w:hAnsi="Verdana"/>
        </w:rPr>
        <w:t>.</w:t>
      </w:r>
      <w:r w:rsidR="00BA3076">
        <w:rPr>
          <w:rFonts w:ascii="Verdana" w:hAnsi="Verdana"/>
        </w:rPr>
        <w:t xml:space="preserve"> </w:t>
      </w:r>
      <w:r w:rsidR="00947825">
        <w:rPr>
          <w:rFonts w:ascii="Verdana" w:hAnsi="Verdana"/>
        </w:rPr>
        <w:t>The Tenancy Standard</w:t>
      </w:r>
      <w:r>
        <w:rPr>
          <w:rFonts w:ascii="Verdana" w:hAnsi="Verdana"/>
        </w:rPr>
        <w:t xml:space="preserve"> was updated </w:t>
      </w:r>
      <w:r w:rsidRPr="00685B34">
        <w:rPr>
          <w:rFonts w:ascii="Verdana" w:hAnsi="Verdana"/>
        </w:rPr>
        <w:t>on 1 April 2024</w:t>
      </w:r>
      <w:r>
        <w:rPr>
          <w:rFonts w:ascii="Verdana" w:hAnsi="Verdana"/>
        </w:rPr>
        <w:t xml:space="preserve"> following the </w:t>
      </w:r>
      <w:r w:rsidR="00BA3076">
        <w:rPr>
          <w:rFonts w:ascii="Verdana" w:hAnsi="Verdana"/>
        </w:rPr>
        <w:t>enactment of</w:t>
      </w:r>
      <w:r w:rsidR="00081E85">
        <w:rPr>
          <w:rFonts w:ascii="Verdana" w:hAnsi="Verdana"/>
        </w:rPr>
        <w:t xml:space="preserve"> the </w:t>
      </w:r>
      <w:r w:rsidR="009916A6" w:rsidRPr="009916A6">
        <w:rPr>
          <w:rFonts w:ascii="Verdana" w:hAnsi="Verdana"/>
        </w:rPr>
        <w:t>Social Housing (Regulation) Act</w:t>
      </w:r>
      <w:r w:rsidR="009916A6">
        <w:rPr>
          <w:rFonts w:ascii="Verdana" w:hAnsi="Verdana"/>
        </w:rPr>
        <w:t xml:space="preserve"> 2023</w:t>
      </w:r>
      <w:r w:rsidR="00947825">
        <w:rPr>
          <w:rFonts w:ascii="Verdana" w:hAnsi="Verdana"/>
        </w:rPr>
        <w:t xml:space="preserve"> </w:t>
      </w:r>
      <w:r w:rsidR="00FE1ED6">
        <w:rPr>
          <w:rFonts w:ascii="Verdana" w:hAnsi="Verdana"/>
        </w:rPr>
        <w:t>(“</w:t>
      </w:r>
      <w:r w:rsidR="00947825">
        <w:rPr>
          <w:rFonts w:ascii="Verdana" w:hAnsi="Verdana"/>
        </w:rPr>
        <w:t>SHRA</w:t>
      </w:r>
      <w:r w:rsidR="00FE1ED6">
        <w:rPr>
          <w:rFonts w:ascii="Verdana" w:hAnsi="Verdana"/>
        </w:rPr>
        <w:t>”)</w:t>
      </w:r>
      <w:r w:rsidR="00947825">
        <w:rPr>
          <w:rFonts w:ascii="Verdana" w:hAnsi="Verdana"/>
        </w:rPr>
        <w:t xml:space="preserve">, </w:t>
      </w:r>
      <w:r>
        <w:rPr>
          <w:rFonts w:ascii="Verdana" w:hAnsi="Verdana"/>
        </w:rPr>
        <w:t>which</w:t>
      </w:r>
      <w:r w:rsidR="009916A6">
        <w:rPr>
          <w:rFonts w:ascii="Verdana" w:hAnsi="Verdana"/>
        </w:rPr>
        <w:t xml:space="preserve"> outline</w:t>
      </w:r>
      <w:r w:rsidR="003E3A5E">
        <w:rPr>
          <w:rFonts w:ascii="Verdana" w:hAnsi="Verdana"/>
        </w:rPr>
        <w:t>d</w:t>
      </w:r>
      <w:r w:rsidR="009916A6" w:rsidRPr="009916A6">
        <w:rPr>
          <w:rFonts w:ascii="Verdana" w:hAnsi="Verdana"/>
        </w:rPr>
        <w:t xml:space="preserve"> changes to how social housing is managed.</w:t>
      </w:r>
      <w:r>
        <w:rPr>
          <w:rFonts w:ascii="Verdana" w:hAnsi="Verdana"/>
        </w:rPr>
        <w:t xml:space="preserve"> </w:t>
      </w:r>
      <w:r w:rsidR="003E3A5E">
        <w:rPr>
          <w:rFonts w:ascii="Verdana" w:hAnsi="Verdana"/>
        </w:rPr>
        <w:t xml:space="preserve">The </w:t>
      </w:r>
      <w:r w:rsidR="00947825">
        <w:rPr>
          <w:rFonts w:ascii="Verdana" w:hAnsi="Verdana"/>
        </w:rPr>
        <w:t>SHRA</w:t>
      </w:r>
      <w:r w:rsidR="009916A6" w:rsidRPr="009916A6">
        <w:rPr>
          <w:rFonts w:ascii="Verdana" w:hAnsi="Verdana"/>
        </w:rPr>
        <w:t xml:space="preserve"> includes increased regulation of </w:t>
      </w:r>
      <w:r w:rsidR="00507958">
        <w:rPr>
          <w:rFonts w:ascii="Verdana" w:hAnsi="Verdana"/>
        </w:rPr>
        <w:t>S</w:t>
      </w:r>
      <w:r w:rsidR="009916A6" w:rsidRPr="009916A6">
        <w:rPr>
          <w:rFonts w:ascii="Verdana" w:hAnsi="Verdana"/>
        </w:rPr>
        <w:t xml:space="preserve">ocial </w:t>
      </w:r>
      <w:r w:rsidR="00507958">
        <w:rPr>
          <w:rFonts w:ascii="Verdana" w:hAnsi="Verdana"/>
        </w:rPr>
        <w:t>L</w:t>
      </w:r>
      <w:r w:rsidR="009916A6" w:rsidRPr="009916A6">
        <w:rPr>
          <w:rFonts w:ascii="Verdana" w:hAnsi="Verdana"/>
        </w:rPr>
        <w:t>andlords and new rules for protecting tenants from serious hazards in their homes.</w:t>
      </w:r>
    </w:p>
    <w:p w14:paraId="331F54F8" w14:textId="77777777" w:rsidR="00943DBA" w:rsidRPr="009916A6" w:rsidRDefault="00943DBA" w:rsidP="009916A6">
      <w:pPr>
        <w:rPr>
          <w:rFonts w:ascii="Verdana" w:hAnsi="Verdana"/>
        </w:rPr>
      </w:pPr>
    </w:p>
    <w:p w14:paraId="0F3B5066" w14:textId="14963B6B" w:rsidR="009916A6" w:rsidRPr="009916A6" w:rsidRDefault="009916A6" w:rsidP="009916A6">
      <w:pPr>
        <w:rPr>
          <w:rFonts w:ascii="Verdana" w:hAnsi="Verdana"/>
        </w:rPr>
      </w:pPr>
      <w:r w:rsidRPr="009916A6">
        <w:rPr>
          <w:rFonts w:ascii="Verdana" w:hAnsi="Verdana"/>
        </w:rPr>
        <w:t>Many of the provisions in the</w:t>
      </w:r>
      <w:r w:rsidR="00943DBA">
        <w:rPr>
          <w:rFonts w:ascii="Verdana" w:hAnsi="Verdana"/>
        </w:rPr>
        <w:t xml:space="preserve"> </w:t>
      </w:r>
      <w:r w:rsidR="00D36441">
        <w:rPr>
          <w:rFonts w:ascii="Verdana" w:hAnsi="Verdana"/>
        </w:rPr>
        <w:t>SHRA</w:t>
      </w:r>
      <w:r w:rsidR="00943DBA">
        <w:rPr>
          <w:rFonts w:ascii="Verdana" w:hAnsi="Verdana"/>
        </w:rPr>
        <w:t xml:space="preserve"> </w:t>
      </w:r>
      <w:r w:rsidRPr="009916A6">
        <w:rPr>
          <w:rFonts w:ascii="Verdana" w:hAnsi="Verdana"/>
        </w:rPr>
        <w:t xml:space="preserve">are responses to the tragedies of the 2017 Grenfell Tower fire and </w:t>
      </w:r>
      <w:r w:rsidR="00CC5BC4">
        <w:rPr>
          <w:rFonts w:ascii="Verdana" w:hAnsi="Verdana"/>
        </w:rPr>
        <w:t xml:space="preserve">the </w:t>
      </w:r>
      <w:r w:rsidRPr="009916A6">
        <w:rPr>
          <w:rFonts w:ascii="Verdana" w:hAnsi="Verdana"/>
        </w:rPr>
        <w:t xml:space="preserve">death of two-year old Awaab Ishak in 2020 from </w:t>
      </w:r>
      <w:r w:rsidRPr="009916A6">
        <w:rPr>
          <w:rFonts w:ascii="Verdana" w:hAnsi="Verdana"/>
        </w:rPr>
        <w:lastRenderedPageBreak/>
        <w:t>exposure to serious mould.</w:t>
      </w:r>
      <w:r>
        <w:rPr>
          <w:rFonts w:ascii="Verdana" w:hAnsi="Verdana"/>
        </w:rPr>
        <w:t xml:space="preserve"> </w:t>
      </w:r>
      <w:r w:rsidRPr="009916A6">
        <w:rPr>
          <w:rFonts w:ascii="Verdana" w:hAnsi="Verdana"/>
        </w:rPr>
        <w:t xml:space="preserve">The </w:t>
      </w:r>
      <w:r w:rsidR="00BA3076">
        <w:rPr>
          <w:rFonts w:ascii="Verdana" w:hAnsi="Verdana"/>
        </w:rPr>
        <w:t>SHRA</w:t>
      </w:r>
      <w:r w:rsidR="00D36441">
        <w:rPr>
          <w:rFonts w:ascii="Verdana" w:hAnsi="Verdana"/>
        </w:rPr>
        <w:t xml:space="preserve"> </w:t>
      </w:r>
      <w:r>
        <w:rPr>
          <w:rFonts w:ascii="Verdana" w:hAnsi="Verdana"/>
        </w:rPr>
        <w:t xml:space="preserve">introduces more stringent regulation and </w:t>
      </w:r>
      <w:r w:rsidRPr="009916A6">
        <w:rPr>
          <w:rFonts w:ascii="Verdana" w:hAnsi="Verdana"/>
        </w:rPr>
        <w:t xml:space="preserve">allows the Regulator of Social Housing to </w:t>
      </w:r>
      <w:r w:rsidR="0045114A" w:rsidRPr="009916A6">
        <w:rPr>
          <w:rFonts w:ascii="Verdana" w:hAnsi="Verdana"/>
        </w:rPr>
        <w:t>act</w:t>
      </w:r>
      <w:r w:rsidRPr="009916A6">
        <w:rPr>
          <w:rFonts w:ascii="Verdana" w:hAnsi="Verdana"/>
        </w:rPr>
        <w:t xml:space="preserve"> against </w:t>
      </w:r>
      <w:r w:rsidR="00507958">
        <w:rPr>
          <w:rFonts w:ascii="Verdana" w:hAnsi="Verdana"/>
        </w:rPr>
        <w:t>S</w:t>
      </w:r>
      <w:r w:rsidRPr="009916A6">
        <w:rPr>
          <w:rFonts w:ascii="Verdana" w:hAnsi="Verdana"/>
        </w:rPr>
        <w:t xml:space="preserve">ocial </w:t>
      </w:r>
      <w:r w:rsidR="00507958">
        <w:rPr>
          <w:rFonts w:ascii="Verdana" w:hAnsi="Verdana"/>
        </w:rPr>
        <w:t>L</w:t>
      </w:r>
      <w:r w:rsidRPr="009916A6">
        <w:rPr>
          <w:rFonts w:ascii="Verdana" w:hAnsi="Verdana"/>
        </w:rPr>
        <w:t xml:space="preserve">andlords before people are at risk and hold landlords to account with regular inspections. </w:t>
      </w:r>
      <w:r w:rsidR="00943DBA">
        <w:rPr>
          <w:rFonts w:ascii="Verdana" w:hAnsi="Verdana"/>
        </w:rPr>
        <w:t xml:space="preserve"> </w:t>
      </w:r>
      <w:r w:rsidRPr="009916A6">
        <w:rPr>
          <w:rFonts w:ascii="Verdana" w:hAnsi="Verdana"/>
        </w:rPr>
        <w:t xml:space="preserve">It introduces new social housing consumer standards and gives the Secretary of State power to require </w:t>
      </w:r>
      <w:r w:rsidR="00507958">
        <w:rPr>
          <w:rFonts w:ascii="Verdana" w:hAnsi="Verdana"/>
        </w:rPr>
        <w:t>S</w:t>
      </w:r>
      <w:r w:rsidRPr="009916A6">
        <w:rPr>
          <w:rFonts w:ascii="Verdana" w:hAnsi="Verdana"/>
        </w:rPr>
        <w:t xml:space="preserve">ocial </w:t>
      </w:r>
      <w:r w:rsidR="00507958">
        <w:rPr>
          <w:rFonts w:ascii="Verdana" w:hAnsi="Verdana"/>
        </w:rPr>
        <w:t>L</w:t>
      </w:r>
      <w:r w:rsidRPr="009916A6">
        <w:rPr>
          <w:rFonts w:ascii="Verdana" w:hAnsi="Verdana"/>
        </w:rPr>
        <w:t>andlords to investigate and rectify serious health hazards.</w:t>
      </w:r>
    </w:p>
    <w:p w14:paraId="71881A8A" w14:textId="01B32BC2" w:rsidR="009916A6" w:rsidRPr="009916A6" w:rsidRDefault="009916A6" w:rsidP="009916A6">
      <w:pPr>
        <w:rPr>
          <w:rFonts w:ascii="Verdana" w:hAnsi="Verdana"/>
        </w:rPr>
      </w:pPr>
    </w:p>
    <w:p w14:paraId="0D6F16E6" w14:textId="56DA3FD8" w:rsidR="009916A6" w:rsidRDefault="000469AD" w:rsidP="009916A6">
      <w:pPr>
        <w:rPr>
          <w:rFonts w:ascii="Verdana" w:hAnsi="Verdana"/>
        </w:rPr>
      </w:pPr>
      <w:r>
        <w:rPr>
          <w:rFonts w:ascii="Verdana" w:hAnsi="Verdana"/>
        </w:rPr>
        <w:t xml:space="preserve">The </w:t>
      </w:r>
      <w:r w:rsidR="007436C3">
        <w:rPr>
          <w:rFonts w:ascii="Verdana" w:hAnsi="Verdana"/>
        </w:rPr>
        <w:t>updated Tenancy Standard</w:t>
      </w:r>
      <w:r>
        <w:rPr>
          <w:rFonts w:ascii="Verdana" w:hAnsi="Verdana"/>
        </w:rPr>
        <w:t xml:space="preserve"> on</w:t>
      </w:r>
      <w:r w:rsidR="00B44AED">
        <w:rPr>
          <w:rFonts w:ascii="Verdana" w:hAnsi="Verdana"/>
        </w:rPr>
        <w:t xml:space="preserve"> c</w:t>
      </w:r>
      <w:r w:rsidR="007436C3">
        <w:rPr>
          <w:rFonts w:ascii="Verdana" w:hAnsi="Verdana"/>
        </w:rPr>
        <w:t xml:space="preserve">onsumer standards </w:t>
      </w:r>
      <w:r w:rsidR="00EB5C7F">
        <w:rPr>
          <w:rFonts w:ascii="Verdana" w:hAnsi="Verdana"/>
        </w:rPr>
        <w:t xml:space="preserve">published on 1 April 2024 is </w:t>
      </w:r>
      <w:r w:rsidR="00FA1230">
        <w:rPr>
          <w:rFonts w:ascii="Verdana" w:hAnsi="Verdana"/>
        </w:rPr>
        <w:t xml:space="preserve">and </w:t>
      </w:r>
      <w:r w:rsidR="00EB5C7F">
        <w:rPr>
          <w:rFonts w:ascii="Verdana" w:hAnsi="Verdana"/>
        </w:rPr>
        <w:t xml:space="preserve">applies </w:t>
      </w:r>
      <w:r w:rsidR="00FA1230">
        <w:rPr>
          <w:rFonts w:ascii="Verdana" w:hAnsi="Verdana"/>
        </w:rPr>
        <w:t xml:space="preserve">to all </w:t>
      </w:r>
      <w:r w:rsidR="00C55F24">
        <w:rPr>
          <w:rFonts w:ascii="Verdana" w:hAnsi="Verdana"/>
        </w:rPr>
        <w:t>S</w:t>
      </w:r>
      <w:r w:rsidR="00FA1230">
        <w:rPr>
          <w:rFonts w:ascii="Verdana" w:hAnsi="Verdana"/>
        </w:rPr>
        <w:t xml:space="preserve">ocial </w:t>
      </w:r>
      <w:r w:rsidR="00C55F24">
        <w:rPr>
          <w:rFonts w:ascii="Verdana" w:hAnsi="Verdana"/>
        </w:rPr>
        <w:t>L</w:t>
      </w:r>
      <w:r w:rsidR="00FA1230">
        <w:rPr>
          <w:rFonts w:ascii="Verdana" w:hAnsi="Verdana"/>
        </w:rPr>
        <w:t>andlords</w:t>
      </w:r>
      <w:r w:rsidR="00B44AED">
        <w:rPr>
          <w:rFonts w:ascii="Verdana" w:hAnsi="Verdana"/>
        </w:rPr>
        <w:t>.</w:t>
      </w:r>
      <w:r w:rsidR="00FA1230">
        <w:rPr>
          <w:rFonts w:ascii="Verdana" w:hAnsi="Verdana"/>
        </w:rPr>
        <w:t xml:space="preserve">  Under the new standards </w:t>
      </w:r>
      <w:r w:rsidR="00E73D34">
        <w:rPr>
          <w:rFonts w:ascii="Verdana" w:hAnsi="Verdana"/>
        </w:rPr>
        <w:t xml:space="preserve">Social </w:t>
      </w:r>
      <w:r w:rsidR="00363FD0">
        <w:rPr>
          <w:rFonts w:ascii="Verdana" w:hAnsi="Verdana"/>
        </w:rPr>
        <w:t>Landlords need</w:t>
      </w:r>
      <w:r w:rsidR="00FA1230">
        <w:rPr>
          <w:rFonts w:ascii="Verdana" w:hAnsi="Verdana"/>
        </w:rPr>
        <w:t xml:space="preserve"> to:</w:t>
      </w:r>
    </w:p>
    <w:p w14:paraId="01D163B5" w14:textId="77777777" w:rsidR="00FA1230" w:rsidRDefault="00FA1230" w:rsidP="009916A6">
      <w:pPr>
        <w:rPr>
          <w:rFonts w:ascii="Verdana" w:hAnsi="Verdana"/>
        </w:rPr>
      </w:pPr>
    </w:p>
    <w:p w14:paraId="65B489F8" w14:textId="2B3D6379" w:rsidR="00FA1230" w:rsidRPr="00FA1230" w:rsidRDefault="007436C3" w:rsidP="007436C3">
      <w:pPr>
        <w:numPr>
          <w:ilvl w:val="0"/>
          <w:numId w:val="43"/>
        </w:numPr>
        <w:shd w:val="clear" w:color="auto" w:fill="FFFFFF"/>
        <w:ind w:left="1020"/>
        <w:rPr>
          <w:rFonts w:ascii="Verdana" w:hAnsi="Verdana"/>
          <w:color w:val="0B0C0C"/>
        </w:rPr>
      </w:pPr>
      <w:r>
        <w:rPr>
          <w:rFonts w:ascii="Verdana" w:hAnsi="Verdana"/>
          <w:color w:val="0B0C0C"/>
        </w:rPr>
        <w:t>E</w:t>
      </w:r>
      <w:r w:rsidR="00FA1230" w:rsidRPr="00FA1230">
        <w:rPr>
          <w:rFonts w:ascii="Verdana" w:hAnsi="Verdana"/>
          <w:color w:val="0B0C0C"/>
        </w:rPr>
        <w:t xml:space="preserve">nsure tenants are safe in their </w:t>
      </w:r>
      <w:r w:rsidR="00363FD0" w:rsidRPr="00FA1230">
        <w:rPr>
          <w:rFonts w:ascii="Verdana" w:hAnsi="Verdana"/>
          <w:color w:val="0B0C0C"/>
        </w:rPr>
        <w:t>homes.</w:t>
      </w:r>
    </w:p>
    <w:p w14:paraId="5A1DDCF0" w14:textId="08107AE2" w:rsidR="00FA1230" w:rsidRPr="00FA1230" w:rsidRDefault="007436C3" w:rsidP="007436C3">
      <w:pPr>
        <w:numPr>
          <w:ilvl w:val="0"/>
          <w:numId w:val="43"/>
        </w:numPr>
        <w:shd w:val="clear" w:color="auto" w:fill="FFFFFF"/>
        <w:ind w:left="1020"/>
        <w:rPr>
          <w:rFonts w:ascii="Verdana" w:hAnsi="Verdana"/>
          <w:color w:val="0B0C0C"/>
        </w:rPr>
      </w:pPr>
      <w:r>
        <w:rPr>
          <w:rFonts w:ascii="Verdana" w:hAnsi="Verdana"/>
          <w:color w:val="0B0C0C"/>
        </w:rPr>
        <w:t>L</w:t>
      </w:r>
      <w:r w:rsidR="00FA1230" w:rsidRPr="00FA1230">
        <w:rPr>
          <w:rFonts w:ascii="Verdana" w:hAnsi="Verdana"/>
          <w:color w:val="0B0C0C"/>
        </w:rPr>
        <w:t xml:space="preserve">isten to tenants’ complaints and respond promptly to put things </w:t>
      </w:r>
      <w:r w:rsidR="00363FD0" w:rsidRPr="00FA1230">
        <w:rPr>
          <w:rFonts w:ascii="Verdana" w:hAnsi="Verdana"/>
          <w:color w:val="0B0C0C"/>
        </w:rPr>
        <w:t>right.</w:t>
      </w:r>
    </w:p>
    <w:p w14:paraId="46B1C7F7" w14:textId="6ED9D9C2" w:rsidR="00FA1230" w:rsidRPr="00FA1230" w:rsidRDefault="007436C3" w:rsidP="007436C3">
      <w:pPr>
        <w:numPr>
          <w:ilvl w:val="0"/>
          <w:numId w:val="43"/>
        </w:numPr>
        <w:shd w:val="clear" w:color="auto" w:fill="FFFFFF"/>
        <w:ind w:left="1020"/>
        <w:rPr>
          <w:rFonts w:ascii="Verdana" w:hAnsi="Verdana"/>
          <w:color w:val="0B0C0C"/>
        </w:rPr>
      </w:pPr>
      <w:r>
        <w:rPr>
          <w:rFonts w:ascii="Verdana" w:hAnsi="Verdana"/>
          <w:color w:val="0B0C0C"/>
        </w:rPr>
        <w:t>B</w:t>
      </w:r>
      <w:r w:rsidR="00FA1230" w:rsidRPr="00FA1230">
        <w:rPr>
          <w:rFonts w:ascii="Verdana" w:hAnsi="Verdana"/>
          <w:color w:val="0B0C0C"/>
        </w:rPr>
        <w:t xml:space="preserve">e accountable to tenants and treat them with fairness and </w:t>
      </w:r>
      <w:r w:rsidR="00363FD0" w:rsidRPr="00FA1230">
        <w:rPr>
          <w:rFonts w:ascii="Verdana" w:hAnsi="Verdana"/>
          <w:color w:val="0B0C0C"/>
        </w:rPr>
        <w:t>respect.</w:t>
      </w:r>
    </w:p>
    <w:p w14:paraId="2D513456" w14:textId="3E190581" w:rsidR="00FA1230" w:rsidRPr="00FA1230" w:rsidRDefault="007436C3" w:rsidP="007436C3">
      <w:pPr>
        <w:numPr>
          <w:ilvl w:val="0"/>
          <w:numId w:val="43"/>
        </w:numPr>
        <w:shd w:val="clear" w:color="auto" w:fill="FFFFFF"/>
        <w:ind w:left="1020"/>
        <w:rPr>
          <w:rFonts w:ascii="Verdana" w:hAnsi="Verdana"/>
          <w:color w:val="0B0C0C"/>
        </w:rPr>
      </w:pPr>
      <w:r>
        <w:rPr>
          <w:rFonts w:ascii="Verdana" w:hAnsi="Verdana"/>
          <w:color w:val="0B0C0C"/>
        </w:rPr>
        <w:t>K</w:t>
      </w:r>
      <w:r w:rsidR="00FA1230" w:rsidRPr="00FA1230">
        <w:rPr>
          <w:rFonts w:ascii="Verdana" w:hAnsi="Verdana"/>
          <w:color w:val="0B0C0C"/>
        </w:rPr>
        <w:t>now more about the condition of every home and the needs of the people who live in them</w:t>
      </w:r>
      <w:r w:rsidR="001876C0">
        <w:rPr>
          <w:rFonts w:ascii="Verdana" w:hAnsi="Verdana"/>
          <w:color w:val="0B0C0C"/>
        </w:rPr>
        <w:t xml:space="preserve">; and </w:t>
      </w:r>
    </w:p>
    <w:p w14:paraId="1F518669" w14:textId="35FF4090" w:rsidR="00FA1230" w:rsidRPr="00FA1230" w:rsidRDefault="007436C3" w:rsidP="007436C3">
      <w:pPr>
        <w:numPr>
          <w:ilvl w:val="0"/>
          <w:numId w:val="43"/>
        </w:numPr>
        <w:shd w:val="clear" w:color="auto" w:fill="FFFFFF"/>
        <w:ind w:left="1020"/>
        <w:rPr>
          <w:rFonts w:ascii="Verdana" w:hAnsi="Verdana"/>
          <w:color w:val="0B0C0C"/>
        </w:rPr>
      </w:pPr>
      <w:r>
        <w:rPr>
          <w:rFonts w:ascii="Verdana" w:hAnsi="Verdana"/>
          <w:color w:val="0B0C0C"/>
        </w:rPr>
        <w:t>C</w:t>
      </w:r>
      <w:r w:rsidR="00FA1230" w:rsidRPr="00FA1230">
        <w:rPr>
          <w:rFonts w:ascii="Verdana" w:hAnsi="Verdana"/>
          <w:color w:val="0B0C0C"/>
        </w:rPr>
        <w:t>ollect and use data effectively across a range of areas, including repairs</w:t>
      </w:r>
      <w:r w:rsidR="001876C0">
        <w:rPr>
          <w:rFonts w:ascii="Verdana" w:hAnsi="Verdana"/>
          <w:color w:val="0B0C0C"/>
        </w:rPr>
        <w:t>.</w:t>
      </w:r>
    </w:p>
    <w:p w14:paraId="159E2258" w14:textId="0DE779F7" w:rsidR="00FA1230" w:rsidRPr="00FA1230" w:rsidRDefault="00FA1230" w:rsidP="00FA1230">
      <w:pPr>
        <w:shd w:val="clear" w:color="auto" w:fill="FFFFFF"/>
        <w:spacing w:before="300" w:after="300"/>
        <w:rPr>
          <w:rFonts w:ascii="Verdana" w:hAnsi="Verdana"/>
          <w:color w:val="0B0C0C"/>
        </w:rPr>
      </w:pPr>
      <w:r w:rsidRPr="00FA1230">
        <w:rPr>
          <w:rFonts w:ascii="Verdana" w:hAnsi="Verdana"/>
          <w:color w:val="0B0C0C"/>
        </w:rPr>
        <w:t>Most social housing tenants live in decent homes, but </w:t>
      </w:r>
      <w:r w:rsidR="007436C3">
        <w:rPr>
          <w:rFonts w:ascii="Verdana" w:hAnsi="Verdana"/>
          <w:color w:val="0B0C0C"/>
        </w:rPr>
        <w:t>the Regulator of Social Housing</w:t>
      </w:r>
      <w:r w:rsidRPr="00FA1230">
        <w:rPr>
          <w:rFonts w:ascii="Verdana" w:hAnsi="Verdana"/>
          <w:color w:val="0B0C0C"/>
        </w:rPr>
        <w:t xml:space="preserve"> </w:t>
      </w:r>
      <w:r w:rsidR="001876C0">
        <w:rPr>
          <w:rFonts w:ascii="Verdana" w:hAnsi="Verdana"/>
          <w:color w:val="0B0C0C"/>
        </w:rPr>
        <w:t xml:space="preserve">has </w:t>
      </w:r>
      <w:r w:rsidR="00DA7C07">
        <w:rPr>
          <w:rFonts w:ascii="Verdana" w:hAnsi="Verdana"/>
          <w:color w:val="0B0C0C"/>
        </w:rPr>
        <w:t xml:space="preserve">made it </w:t>
      </w:r>
      <w:r w:rsidRPr="00FA1230">
        <w:rPr>
          <w:rFonts w:ascii="Verdana" w:hAnsi="Verdana"/>
          <w:color w:val="0B0C0C"/>
        </w:rPr>
        <w:t>clear that all</w:t>
      </w:r>
      <w:r w:rsidR="00E73D34">
        <w:rPr>
          <w:rFonts w:ascii="Verdana" w:hAnsi="Verdana"/>
          <w:color w:val="0B0C0C"/>
        </w:rPr>
        <w:t xml:space="preserve"> Social L</w:t>
      </w:r>
      <w:r w:rsidRPr="00FA1230">
        <w:rPr>
          <w:rFonts w:ascii="Verdana" w:hAnsi="Verdana"/>
          <w:color w:val="0B0C0C"/>
        </w:rPr>
        <w:t xml:space="preserve">andlords can improve. To hold </w:t>
      </w:r>
      <w:r w:rsidR="00E73D34">
        <w:rPr>
          <w:rFonts w:ascii="Verdana" w:hAnsi="Verdana"/>
          <w:color w:val="0B0C0C"/>
        </w:rPr>
        <w:t>Social L</w:t>
      </w:r>
      <w:r w:rsidRPr="00FA1230">
        <w:rPr>
          <w:rFonts w:ascii="Verdana" w:hAnsi="Verdana"/>
          <w:color w:val="0B0C0C"/>
        </w:rPr>
        <w:t>andlords to account, it will:</w:t>
      </w:r>
    </w:p>
    <w:p w14:paraId="6E984649" w14:textId="7DD3054F" w:rsidR="00FA1230" w:rsidRPr="00FA1230" w:rsidRDefault="007436C3" w:rsidP="007436C3">
      <w:pPr>
        <w:numPr>
          <w:ilvl w:val="0"/>
          <w:numId w:val="44"/>
        </w:numPr>
        <w:shd w:val="clear" w:color="auto" w:fill="FFFFFF"/>
        <w:ind w:left="1020"/>
        <w:rPr>
          <w:rFonts w:ascii="Verdana" w:hAnsi="Verdana"/>
          <w:color w:val="0B0C0C"/>
        </w:rPr>
      </w:pPr>
      <w:r>
        <w:rPr>
          <w:rFonts w:ascii="Verdana" w:hAnsi="Verdana"/>
          <w:color w:val="0B0C0C"/>
        </w:rPr>
        <w:t>I</w:t>
      </w:r>
      <w:r w:rsidR="00FA1230" w:rsidRPr="00FA1230">
        <w:rPr>
          <w:rFonts w:ascii="Verdana" w:hAnsi="Verdana"/>
          <w:color w:val="0B0C0C"/>
        </w:rPr>
        <w:t xml:space="preserve">nspect larger </w:t>
      </w:r>
      <w:r w:rsidR="003E6A8A">
        <w:rPr>
          <w:rFonts w:ascii="Verdana" w:hAnsi="Verdana"/>
          <w:color w:val="0B0C0C"/>
        </w:rPr>
        <w:t>Social L</w:t>
      </w:r>
      <w:r w:rsidR="00FA1230" w:rsidRPr="00FA1230">
        <w:rPr>
          <w:rFonts w:ascii="Verdana" w:hAnsi="Verdana"/>
          <w:color w:val="0B0C0C"/>
        </w:rPr>
        <w:t xml:space="preserve">andlords regularly to check they are meeting the outcomes in the </w:t>
      </w:r>
      <w:r w:rsidR="00363FD0" w:rsidRPr="00FA1230">
        <w:rPr>
          <w:rFonts w:ascii="Verdana" w:hAnsi="Verdana"/>
          <w:color w:val="0B0C0C"/>
        </w:rPr>
        <w:t>standards.</w:t>
      </w:r>
    </w:p>
    <w:p w14:paraId="62CD40D3" w14:textId="03C398FC" w:rsidR="00FA1230" w:rsidRPr="00FA1230" w:rsidRDefault="007436C3" w:rsidP="007436C3">
      <w:pPr>
        <w:numPr>
          <w:ilvl w:val="0"/>
          <w:numId w:val="44"/>
        </w:numPr>
        <w:shd w:val="clear" w:color="auto" w:fill="FFFFFF"/>
        <w:ind w:left="1020"/>
        <w:rPr>
          <w:rFonts w:ascii="Verdana" w:hAnsi="Verdana"/>
          <w:color w:val="0B0C0C"/>
        </w:rPr>
      </w:pPr>
      <w:r>
        <w:rPr>
          <w:rFonts w:ascii="Verdana" w:hAnsi="Verdana"/>
          <w:color w:val="0B0C0C"/>
        </w:rPr>
        <w:t>S</w:t>
      </w:r>
      <w:r w:rsidR="00FA1230" w:rsidRPr="00FA1230">
        <w:rPr>
          <w:rFonts w:ascii="Verdana" w:hAnsi="Verdana"/>
          <w:color w:val="0B0C0C"/>
        </w:rPr>
        <w:t xml:space="preserve">crutinise data about tenant satisfaction, repairs and other relevant </w:t>
      </w:r>
      <w:r w:rsidR="00363FD0" w:rsidRPr="00FA1230">
        <w:rPr>
          <w:rFonts w:ascii="Verdana" w:hAnsi="Verdana"/>
          <w:color w:val="0B0C0C"/>
        </w:rPr>
        <w:t>issues.</w:t>
      </w:r>
    </w:p>
    <w:p w14:paraId="773CC47A" w14:textId="7992B5B6" w:rsidR="00FA1230" w:rsidRPr="00FA1230" w:rsidRDefault="007436C3" w:rsidP="007436C3">
      <w:pPr>
        <w:numPr>
          <w:ilvl w:val="0"/>
          <w:numId w:val="44"/>
        </w:numPr>
        <w:shd w:val="clear" w:color="auto" w:fill="FFFFFF"/>
        <w:ind w:left="1020"/>
        <w:rPr>
          <w:rFonts w:ascii="Verdana" w:hAnsi="Verdana"/>
          <w:color w:val="0B0C0C"/>
        </w:rPr>
      </w:pPr>
      <w:r>
        <w:rPr>
          <w:rFonts w:ascii="Verdana" w:hAnsi="Verdana"/>
          <w:color w:val="0B0C0C"/>
        </w:rPr>
        <w:t>C</w:t>
      </w:r>
      <w:r w:rsidR="00FA1230" w:rsidRPr="00FA1230">
        <w:rPr>
          <w:rFonts w:ascii="Verdana" w:hAnsi="Verdana"/>
          <w:color w:val="0B0C0C"/>
        </w:rPr>
        <w:t xml:space="preserve">ontinue to push </w:t>
      </w:r>
      <w:r w:rsidR="003E6A8A">
        <w:rPr>
          <w:rFonts w:ascii="Verdana" w:hAnsi="Verdana"/>
          <w:color w:val="0B0C0C"/>
        </w:rPr>
        <w:t>Social L</w:t>
      </w:r>
      <w:r w:rsidR="00FA1230" w:rsidRPr="00FA1230">
        <w:rPr>
          <w:rFonts w:ascii="Verdana" w:hAnsi="Verdana"/>
          <w:color w:val="0B0C0C"/>
        </w:rPr>
        <w:t xml:space="preserve">andlords to protect tenants and put things right when there are </w:t>
      </w:r>
      <w:r w:rsidR="00363FD0" w:rsidRPr="00FA1230">
        <w:rPr>
          <w:rFonts w:ascii="Verdana" w:hAnsi="Verdana"/>
          <w:color w:val="0B0C0C"/>
        </w:rPr>
        <w:t>problems.</w:t>
      </w:r>
    </w:p>
    <w:p w14:paraId="714A76C0" w14:textId="02ABA953" w:rsidR="00FA1230" w:rsidRPr="00FA1230" w:rsidRDefault="007436C3" w:rsidP="007436C3">
      <w:pPr>
        <w:numPr>
          <w:ilvl w:val="0"/>
          <w:numId w:val="44"/>
        </w:numPr>
        <w:shd w:val="clear" w:color="auto" w:fill="FFFFFF"/>
        <w:ind w:left="1020"/>
        <w:rPr>
          <w:rFonts w:ascii="Verdana" w:hAnsi="Verdana"/>
          <w:color w:val="0B0C0C"/>
        </w:rPr>
      </w:pPr>
      <w:r>
        <w:rPr>
          <w:rFonts w:ascii="Verdana" w:hAnsi="Verdana"/>
          <w:color w:val="0B0C0C"/>
        </w:rPr>
        <w:t>U</w:t>
      </w:r>
      <w:r w:rsidR="00FA1230" w:rsidRPr="00FA1230">
        <w:rPr>
          <w:rFonts w:ascii="Verdana" w:hAnsi="Verdana"/>
          <w:color w:val="0B0C0C"/>
        </w:rPr>
        <w:t>se a range of tools when needed, including new enforcement powers</w:t>
      </w:r>
      <w:r w:rsidR="00B44AED">
        <w:rPr>
          <w:rFonts w:ascii="Verdana" w:hAnsi="Verdana"/>
          <w:color w:val="0B0C0C"/>
        </w:rPr>
        <w:t xml:space="preserve">, </w:t>
      </w:r>
      <w:r w:rsidR="001876C0">
        <w:rPr>
          <w:rFonts w:ascii="Verdana" w:hAnsi="Verdana"/>
          <w:color w:val="0B0C0C"/>
        </w:rPr>
        <w:t>and</w:t>
      </w:r>
    </w:p>
    <w:p w14:paraId="50BA9C75" w14:textId="3F947488" w:rsidR="00FA1230" w:rsidRPr="00FA1230" w:rsidRDefault="007436C3" w:rsidP="007436C3">
      <w:pPr>
        <w:numPr>
          <w:ilvl w:val="0"/>
          <w:numId w:val="44"/>
        </w:numPr>
        <w:shd w:val="clear" w:color="auto" w:fill="FFFFFF"/>
        <w:ind w:left="1020"/>
        <w:rPr>
          <w:rFonts w:ascii="Verdana" w:hAnsi="Verdana"/>
          <w:color w:val="0B0C0C"/>
        </w:rPr>
      </w:pPr>
      <w:r>
        <w:rPr>
          <w:rFonts w:ascii="Verdana" w:hAnsi="Verdana"/>
          <w:color w:val="0B0C0C"/>
        </w:rPr>
        <w:t>C</w:t>
      </w:r>
      <w:r w:rsidR="00FA1230" w:rsidRPr="00FA1230">
        <w:rPr>
          <w:rFonts w:ascii="Verdana" w:hAnsi="Verdana"/>
          <w:color w:val="0B0C0C"/>
        </w:rPr>
        <w:t xml:space="preserve">ontinue to focus on the financial viability and governance of </w:t>
      </w:r>
      <w:r w:rsidR="003E6A8A">
        <w:rPr>
          <w:rFonts w:ascii="Verdana" w:hAnsi="Verdana"/>
          <w:color w:val="0B0C0C"/>
        </w:rPr>
        <w:t>Private Registered Providers</w:t>
      </w:r>
      <w:r w:rsidR="00FA1230" w:rsidRPr="00FA1230">
        <w:rPr>
          <w:rFonts w:ascii="Verdana" w:hAnsi="Verdana"/>
          <w:color w:val="0B0C0C"/>
        </w:rPr>
        <w:t xml:space="preserve"> as part of its integrated regulation</w:t>
      </w:r>
      <w:r w:rsidR="001876C0">
        <w:rPr>
          <w:rFonts w:ascii="Verdana" w:hAnsi="Verdana"/>
          <w:color w:val="0B0C0C"/>
        </w:rPr>
        <w:t>.</w:t>
      </w:r>
    </w:p>
    <w:bookmarkEnd w:id="7"/>
    <w:p w14:paraId="21465B17" w14:textId="77777777" w:rsidR="00215EFF" w:rsidRDefault="00215EFF" w:rsidP="0093783B">
      <w:pPr>
        <w:rPr>
          <w:rFonts w:ascii="Verdana" w:hAnsi="Verdana"/>
        </w:rPr>
      </w:pPr>
    </w:p>
    <w:p w14:paraId="23213CB3" w14:textId="7E97DAA2" w:rsidR="00215EFF" w:rsidRDefault="00215EFF" w:rsidP="00215EFF">
      <w:pPr>
        <w:rPr>
          <w:rFonts w:ascii="Verdana" w:hAnsi="Verdana"/>
        </w:rPr>
      </w:pPr>
      <w:r>
        <w:rPr>
          <w:rFonts w:ascii="Verdana" w:hAnsi="Verdana"/>
        </w:rPr>
        <w:t>Social Landlord</w:t>
      </w:r>
      <w:r w:rsidRPr="00D6028C">
        <w:rPr>
          <w:rFonts w:ascii="Verdana" w:hAnsi="Verdana"/>
        </w:rPr>
        <w:t xml:space="preserve">s are expected to have regard to this Tenancy Strategy in a manner that is fully compliant with their regulatory obligations as set out </w:t>
      </w:r>
      <w:r>
        <w:rPr>
          <w:rFonts w:ascii="Verdana" w:hAnsi="Verdana"/>
        </w:rPr>
        <w:t>below</w:t>
      </w:r>
      <w:r w:rsidRPr="00D6028C">
        <w:rPr>
          <w:rFonts w:ascii="Verdana" w:hAnsi="Verdana"/>
        </w:rPr>
        <w:t>.</w:t>
      </w:r>
    </w:p>
    <w:bookmarkEnd w:id="6"/>
    <w:p w14:paraId="4D227379" w14:textId="77777777" w:rsidR="0062016A" w:rsidRDefault="0062016A" w:rsidP="0093783B">
      <w:pPr>
        <w:rPr>
          <w:rFonts w:ascii="Verdana" w:hAnsi="Verdana"/>
        </w:rPr>
      </w:pPr>
    </w:p>
    <w:p w14:paraId="3DB4B7A2" w14:textId="6E0B9480" w:rsidR="00215EFF" w:rsidRDefault="00176B1C" w:rsidP="00DA7C07">
      <w:pPr>
        <w:rPr>
          <w:rFonts w:ascii="Verdana" w:hAnsi="Verdana"/>
          <w:b/>
        </w:rPr>
      </w:pPr>
      <w:bookmarkStart w:id="8" w:name="_Hlk143625290"/>
      <w:r>
        <w:rPr>
          <w:rFonts w:ascii="Verdana" w:hAnsi="Verdana"/>
          <w:b/>
        </w:rPr>
        <w:t>3</w:t>
      </w:r>
      <w:r w:rsidR="00215EFF" w:rsidRPr="00215EFF">
        <w:rPr>
          <w:rFonts w:ascii="Verdana" w:hAnsi="Verdana"/>
          <w:b/>
        </w:rPr>
        <w:t>.</w:t>
      </w:r>
      <w:r w:rsidR="00DA7C07">
        <w:rPr>
          <w:rFonts w:ascii="Verdana" w:hAnsi="Verdana"/>
          <w:b/>
        </w:rPr>
        <w:t>2</w:t>
      </w:r>
      <w:r w:rsidR="00215EFF" w:rsidRPr="00215EFF">
        <w:rPr>
          <w:rFonts w:ascii="Verdana" w:hAnsi="Verdana"/>
          <w:b/>
        </w:rPr>
        <w:t>.1</w:t>
      </w:r>
      <w:r w:rsidR="00215EFF" w:rsidRPr="00215EFF">
        <w:rPr>
          <w:rFonts w:ascii="Verdana" w:hAnsi="Verdana"/>
          <w:b/>
        </w:rPr>
        <w:tab/>
      </w:r>
      <w:r w:rsidR="00C55F24">
        <w:rPr>
          <w:rFonts w:ascii="Verdana" w:hAnsi="Verdana"/>
          <w:b/>
        </w:rPr>
        <w:t xml:space="preserve">The Tenancy Standard - </w:t>
      </w:r>
      <w:r w:rsidR="00215EFF" w:rsidRPr="00215EFF">
        <w:rPr>
          <w:rFonts w:ascii="Verdana" w:hAnsi="Verdana"/>
          <w:b/>
        </w:rPr>
        <w:t>Tenure</w:t>
      </w:r>
    </w:p>
    <w:p w14:paraId="47416ADF" w14:textId="77777777" w:rsidR="009916A6" w:rsidRPr="00215EFF" w:rsidRDefault="009916A6" w:rsidP="00176B1C">
      <w:pPr>
        <w:ind w:left="720"/>
        <w:rPr>
          <w:rFonts w:ascii="Verdana" w:hAnsi="Verdana"/>
          <w:b/>
        </w:rPr>
      </w:pPr>
    </w:p>
    <w:p w14:paraId="291B813E" w14:textId="27FD970E" w:rsidR="00685B34" w:rsidRPr="00685B34" w:rsidRDefault="00885A17" w:rsidP="00685B34">
      <w:pPr>
        <w:rPr>
          <w:rFonts w:ascii="Verdana" w:hAnsi="Verdana"/>
        </w:rPr>
      </w:pPr>
      <w:r>
        <w:rPr>
          <w:rFonts w:ascii="Verdana" w:hAnsi="Verdana"/>
        </w:rPr>
        <w:t>The Tenancy Standard</w:t>
      </w:r>
      <w:r w:rsidR="00685B34" w:rsidRPr="00685B34">
        <w:rPr>
          <w:rFonts w:ascii="Verdana" w:hAnsi="Verdana"/>
        </w:rPr>
        <w:t xml:space="preserve"> require</w:t>
      </w:r>
      <w:r>
        <w:rPr>
          <w:rFonts w:ascii="Verdana" w:hAnsi="Verdana"/>
        </w:rPr>
        <w:t>s</w:t>
      </w:r>
      <w:r w:rsidR="00685B34" w:rsidRPr="00685B34">
        <w:rPr>
          <w:rFonts w:ascii="Verdana" w:hAnsi="Verdana"/>
        </w:rPr>
        <w:t xml:space="preserve"> </w:t>
      </w:r>
      <w:r w:rsidR="001443D8">
        <w:rPr>
          <w:rFonts w:ascii="Verdana" w:hAnsi="Verdana"/>
        </w:rPr>
        <w:t>Social L</w:t>
      </w:r>
      <w:r w:rsidR="00685B34" w:rsidRPr="00685B34">
        <w:rPr>
          <w:rFonts w:ascii="Verdana" w:hAnsi="Verdana"/>
        </w:rPr>
        <w:t>andlords to allocate and let homes fairly and set</w:t>
      </w:r>
      <w:r w:rsidR="00331F16">
        <w:rPr>
          <w:rFonts w:ascii="Verdana" w:hAnsi="Verdana"/>
        </w:rPr>
        <w:t>s</w:t>
      </w:r>
      <w:r w:rsidR="00685B34" w:rsidRPr="00685B34">
        <w:rPr>
          <w:rFonts w:ascii="Verdana" w:hAnsi="Verdana"/>
        </w:rPr>
        <w:t xml:space="preserve"> expectations for how </w:t>
      </w:r>
      <w:r w:rsidR="001443D8">
        <w:rPr>
          <w:rFonts w:ascii="Verdana" w:hAnsi="Verdana"/>
        </w:rPr>
        <w:t>Social L</w:t>
      </w:r>
      <w:r w:rsidR="00685B34" w:rsidRPr="00685B34">
        <w:rPr>
          <w:rFonts w:ascii="Verdana" w:hAnsi="Verdana"/>
        </w:rPr>
        <w:t xml:space="preserve">andlords manage and end tenancies. The </w:t>
      </w:r>
      <w:r w:rsidR="00331F16">
        <w:rPr>
          <w:rFonts w:ascii="Verdana" w:hAnsi="Verdana"/>
        </w:rPr>
        <w:t>Tenancy Standard</w:t>
      </w:r>
      <w:r w:rsidR="00746757">
        <w:rPr>
          <w:rFonts w:ascii="Verdana" w:hAnsi="Verdana"/>
        </w:rPr>
        <w:t xml:space="preserve">: Consumer standards </w:t>
      </w:r>
      <w:r w:rsidR="00685B34" w:rsidRPr="00685B34">
        <w:rPr>
          <w:rFonts w:ascii="Verdana" w:hAnsi="Verdana"/>
        </w:rPr>
        <w:t>consists of four main requirements</w:t>
      </w:r>
      <w:r>
        <w:rPr>
          <w:rFonts w:ascii="Verdana" w:hAnsi="Verdana"/>
        </w:rPr>
        <w:t>:</w:t>
      </w:r>
    </w:p>
    <w:p w14:paraId="1F39DF59" w14:textId="77777777" w:rsidR="00685B34" w:rsidRPr="00685B34" w:rsidRDefault="00685B34" w:rsidP="00442041">
      <w:pPr>
        <w:ind w:left="720"/>
        <w:rPr>
          <w:rFonts w:ascii="Verdana" w:hAnsi="Verdana"/>
        </w:rPr>
      </w:pPr>
    </w:p>
    <w:p w14:paraId="0A3A192D" w14:textId="28F2F489" w:rsidR="00685B34" w:rsidRPr="00442041" w:rsidRDefault="00442041" w:rsidP="00442041">
      <w:pPr>
        <w:ind w:left="720"/>
        <w:rPr>
          <w:rFonts w:ascii="Verdana" w:hAnsi="Verdana"/>
          <w:b/>
          <w:bCs/>
        </w:rPr>
      </w:pPr>
      <w:r w:rsidRPr="00442041">
        <w:rPr>
          <w:rFonts w:ascii="Verdana" w:hAnsi="Verdana"/>
          <w:b/>
          <w:bCs/>
        </w:rPr>
        <w:t>1.</w:t>
      </w:r>
      <w:r>
        <w:rPr>
          <w:rFonts w:ascii="Verdana" w:hAnsi="Verdana"/>
          <w:b/>
          <w:bCs/>
        </w:rPr>
        <w:tab/>
      </w:r>
      <w:r w:rsidR="00685B34" w:rsidRPr="00442041">
        <w:rPr>
          <w:rFonts w:ascii="Verdana" w:hAnsi="Verdana"/>
          <w:b/>
          <w:bCs/>
        </w:rPr>
        <w:t>Allocations and lettings</w:t>
      </w:r>
    </w:p>
    <w:p w14:paraId="71E47D88" w14:textId="77777777" w:rsidR="00685B34" w:rsidRPr="00685B34" w:rsidRDefault="00685B34" w:rsidP="00442041">
      <w:pPr>
        <w:ind w:left="720"/>
        <w:rPr>
          <w:rFonts w:ascii="Verdana" w:hAnsi="Verdana"/>
        </w:rPr>
      </w:pPr>
    </w:p>
    <w:p w14:paraId="03F09C53" w14:textId="642F58AA" w:rsidR="00685B34" w:rsidRDefault="00685B34" w:rsidP="00B44AED">
      <w:pPr>
        <w:ind w:left="720"/>
        <w:rPr>
          <w:rFonts w:ascii="Verdana" w:hAnsi="Verdana"/>
        </w:rPr>
      </w:pPr>
      <w:r w:rsidRPr="00685B34">
        <w:rPr>
          <w:rFonts w:ascii="Verdana" w:hAnsi="Verdana"/>
        </w:rPr>
        <w:t>Registered providers</w:t>
      </w:r>
      <w:r w:rsidR="00C93E1D">
        <w:rPr>
          <w:rFonts w:ascii="Verdana" w:hAnsi="Verdana"/>
        </w:rPr>
        <w:t xml:space="preserve"> (Social Landlords)</w:t>
      </w:r>
      <w:r w:rsidRPr="00685B34">
        <w:rPr>
          <w:rFonts w:ascii="Verdana" w:hAnsi="Verdana"/>
        </w:rPr>
        <w:t xml:space="preserve"> must allocate and let their homes in a fair and</w:t>
      </w:r>
      <w:r w:rsidR="00C93E1D">
        <w:rPr>
          <w:rFonts w:ascii="Verdana" w:hAnsi="Verdana"/>
        </w:rPr>
        <w:t xml:space="preserve"> </w:t>
      </w:r>
      <w:r w:rsidRPr="00685B34">
        <w:rPr>
          <w:rFonts w:ascii="Verdana" w:hAnsi="Verdana"/>
        </w:rPr>
        <w:t>transparent way that takes the needs of tenants and prospective tenants into</w:t>
      </w:r>
      <w:r w:rsidR="00442041">
        <w:rPr>
          <w:rFonts w:ascii="Verdana" w:hAnsi="Verdana"/>
        </w:rPr>
        <w:t xml:space="preserve"> </w:t>
      </w:r>
      <w:r w:rsidRPr="00685B34">
        <w:rPr>
          <w:rFonts w:ascii="Verdana" w:hAnsi="Verdana"/>
        </w:rPr>
        <w:t xml:space="preserve">account. </w:t>
      </w:r>
    </w:p>
    <w:p w14:paraId="7EFA4D97" w14:textId="77777777" w:rsidR="00B44AED" w:rsidRPr="00685B34" w:rsidRDefault="00B44AED" w:rsidP="00B44AED">
      <w:pPr>
        <w:ind w:left="720"/>
        <w:rPr>
          <w:rFonts w:ascii="Verdana" w:hAnsi="Verdana"/>
        </w:rPr>
      </w:pPr>
    </w:p>
    <w:p w14:paraId="40A9C7FC" w14:textId="77777777" w:rsidR="00685B34" w:rsidRPr="00685B34" w:rsidRDefault="00685B34" w:rsidP="00442041">
      <w:pPr>
        <w:ind w:left="720"/>
        <w:rPr>
          <w:rFonts w:ascii="Verdana" w:hAnsi="Verdana"/>
        </w:rPr>
      </w:pPr>
    </w:p>
    <w:p w14:paraId="4C69F25A" w14:textId="37DDB114" w:rsidR="00685B34" w:rsidRPr="00685B34" w:rsidRDefault="00442041" w:rsidP="00442041">
      <w:pPr>
        <w:ind w:left="720"/>
        <w:rPr>
          <w:rFonts w:ascii="Verdana" w:hAnsi="Verdana"/>
          <w:b/>
          <w:bCs/>
        </w:rPr>
      </w:pPr>
      <w:r>
        <w:rPr>
          <w:rFonts w:ascii="Verdana" w:hAnsi="Verdana"/>
          <w:b/>
          <w:bCs/>
        </w:rPr>
        <w:lastRenderedPageBreak/>
        <w:t>2.</w:t>
      </w:r>
      <w:r>
        <w:rPr>
          <w:rFonts w:ascii="Verdana" w:hAnsi="Verdana"/>
          <w:b/>
          <w:bCs/>
        </w:rPr>
        <w:tab/>
      </w:r>
      <w:r w:rsidR="00685B34" w:rsidRPr="00685B34">
        <w:rPr>
          <w:rFonts w:ascii="Verdana" w:hAnsi="Verdana"/>
          <w:b/>
          <w:bCs/>
        </w:rPr>
        <w:t>Tenancy sustainment and evictions</w:t>
      </w:r>
    </w:p>
    <w:p w14:paraId="4ECA2D5E" w14:textId="77777777" w:rsidR="00685B34" w:rsidRPr="00685B34" w:rsidRDefault="00685B34" w:rsidP="00442041">
      <w:pPr>
        <w:ind w:left="720"/>
        <w:rPr>
          <w:rFonts w:ascii="Verdana" w:hAnsi="Verdana"/>
        </w:rPr>
      </w:pPr>
    </w:p>
    <w:p w14:paraId="760AC880" w14:textId="1E4C1F79" w:rsidR="00685B34" w:rsidRPr="00685B34" w:rsidRDefault="00685B34" w:rsidP="00B44AED">
      <w:pPr>
        <w:ind w:left="720"/>
        <w:rPr>
          <w:rFonts w:ascii="Verdana" w:hAnsi="Verdana"/>
        </w:rPr>
      </w:pPr>
      <w:r w:rsidRPr="00685B34">
        <w:rPr>
          <w:rFonts w:ascii="Verdana" w:hAnsi="Verdana"/>
        </w:rPr>
        <w:t>Registered providers</w:t>
      </w:r>
      <w:r w:rsidR="00C93E1D">
        <w:rPr>
          <w:rFonts w:ascii="Verdana" w:hAnsi="Verdana"/>
        </w:rPr>
        <w:t xml:space="preserve"> (Social Landlords) </w:t>
      </w:r>
      <w:r w:rsidRPr="00685B34">
        <w:rPr>
          <w:rFonts w:ascii="Verdana" w:hAnsi="Verdana"/>
        </w:rPr>
        <w:t>must support tenants to maintain their tenancy or</w:t>
      </w:r>
      <w:r w:rsidR="00B44AED">
        <w:rPr>
          <w:rFonts w:ascii="Verdana" w:hAnsi="Verdana"/>
        </w:rPr>
        <w:t xml:space="preserve"> </w:t>
      </w:r>
      <w:r w:rsidRPr="00685B34">
        <w:rPr>
          <w:rFonts w:ascii="Verdana" w:hAnsi="Verdana"/>
        </w:rPr>
        <w:t xml:space="preserve">licence. Where a registered provider </w:t>
      </w:r>
      <w:r w:rsidR="00C93E1D">
        <w:rPr>
          <w:rFonts w:ascii="Verdana" w:hAnsi="Verdana"/>
        </w:rPr>
        <w:t xml:space="preserve">(Social Landlord) </w:t>
      </w:r>
      <w:r w:rsidRPr="00685B34">
        <w:rPr>
          <w:rFonts w:ascii="Verdana" w:hAnsi="Verdana"/>
        </w:rPr>
        <w:t>ends a tenancy or licence, they must</w:t>
      </w:r>
      <w:r w:rsidR="00B44AED">
        <w:rPr>
          <w:rFonts w:ascii="Verdana" w:hAnsi="Verdana"/>
        </w:rPr>
        <w:t xml:space="preserve"> </w:t>
      </w:r>
      <w:r w:rsidRPr="00685B34">
        <w:rPr>
          <w:rFonts w:ascii="Verdana" w:hAnsi="Verdana"/>
        </w:rPr>
        <w:t xml:space="preserve">offer affected </w:t>
      </w:r>
      <w:r w:rsidR="0045114A" w:rsidRPr="00685B34">
        <w:rPr>
          <w:rFonts w:ascii="Verdana" w:hAnsi="Verdana"/>
        </w:rPr>
        <w:t>tenants’</w:t>
      </w:r>
      <w:r w:rsidRPr="00685B34">
        <w:rPr>
          <w:rFonts w:ascii="Verdana" w:hAnsi="Verdana"/>
        </w:rPr>
        <w:t xml:space="preserve"> advice and assistance.</w:t>
      </w:r>
    </w:p>
    <w:p w14:paraId="16BAC09A" w14:textId="77777777" w:rsidR="00685B34" w:rsidRPr="00685B34" w:rsidRDefault="00685B34" w:rsidP="00442041">
      <w:pPr>
        <w:ind w:left="720"/>
        <w:rPr>
          <w:rFonts w:ascii="Verdana" w:hAnsi="Verdana"/>
        </w:rPr>
      </w:pPr>
    </w:p>
    <w:p w14:paraId="157B8F37" w14:textId="6B89B75E" w:rsidR="00685B34" w:rsidRPr="00685B34" w:rsidRDefault="00442041" w:rsidP="00442041">
      <w:pPr>
        <w:ind w:left="720"/>
        <w:rPr>
          <w:rFonts w:ascii="Verdana" w:hAnsi="Verdana"/>
          <w:b/>
          <w:bCs/>
        </w:rPr>
      </w:pPr>
      <w:r>
        <w:rPr>
          <w:rFonts w:ascii="Verdana" w:hAnsi="Verdana"/>
          <w:b/>
          <w:bCs/>
        </w:rPr>
        <w:t>3.</w:t>
      </w:r>
      <w:r>
        <w:rPr>
          <w:rFonts w:ascii="Verdana" w:hAnsi="Verdana"/>
          <w:b/>
          <w:bCs/>
        </w:rPr>
        <w:tab/>
      </w:r>
      <w:r w:rsidR="00685B34" w:rsidRPr="00685B34">
        <w:rPr>
          <w:rFonts w:ascii="Verdana" w:hAnsi="Verdana"/>
          <w:b/>
          <w:bCs/>
        </w:rPr>
        <w:t>Tenure</w:t>
      </w:r>
    </w:p>
    <w:p w14:paraId="4031FE75" w14:textId="77777777" w:rsidR="00685B34" w:rsidRPr="00685B34" w:rsidRDefault="00685B34" w:rsidP="00442041">
      <w:pPr>
        <w:ind w:left="720"/>
        <w:rPr>
          <w:rFonts w:ascii="Verdana" w:hAnsi="Verdana"/>
        </w:rPr>
      </w:pPr>
    </w:p>
    <w:p w14:paraId="591ED242" w14:textId="40EEFCE9" w:rsidR="00685B34" w:rsidRPr="00685B34" w:rsidRDefault="00685B34" w:rsidP="00B44AED">
      <w:pPr>
        <w:ind w:left="720"/>
        <w:rPr>
          <w:rFonts w:ascii="Verdana" w:hAnsi="Verdana"/>
        </w:rPr>
      </w:pPr>
      <w:r w:rsidRPr="00685B34">
        <w:rPr>
          <w:rFonts w:ascii="Verdana" w:hAnsi="Verdana"/>
        </w:rPr>
        <w:t xml:space="preserve">Registered providers </w:t>
      </w:r>
      <w:r w:rsidR="00C93E1D">
        <w:rPr>
          <w:rFonts w:ascii="Verdana" w:hAnsi="Verdana"/>
        </w:rPr>
        <w:t xml:space="preserve">(Social Landlords) </w:t>
      </w:r>
      <w:r w:rsidRPr="00685B34">
        <w:rPr>
          <w:rFonts w:ascii="Verdana" w:hAnsi="Verdana"/>
        </w:rPr>
        <w:t>shall offer tenancies or terms of occupation which are</w:t>
      </w:r>
      <w:r w:rsidR="00B44AED">
        <w:rPr>
          <w:rFonts w:ascii="Verdana" w:hAnsi="Verdana"/>
        </w:rPr>
        <w:t xml:space="preserve"> </w:t>
      </w:r>
      <w:r w:rsidRPr="00685B34">
        <w:rPr>
          <w:rFonts w:ascii="Verdana" w:hAnsi="Verdana"/>
        </w:rPr>
        <w:t>compatible with the purpose of the accommodation, the needs of individual</w:t>
      </w:r>
      <w:r w:rsidR="00B44AED">
        <w:rPr>
          <w:rFonts w:ascii="Verdana" w:hAnsi="Verdana"/>
        </w:rPr>
        <w:t xml:space="preserve"> </w:t>
      </w:r>
      <w:r w:rsidRPr="00685B34">
        <w:rPr>
          <w:rFonts w:ascii="Verdana" w:hAnsi="Verdana"/>
        </w:rPr>
        <w:t>households, the sustainability of the community, and the efficient use of their</w:t>
      </w:r>
      <w:r w:rsidR="00442041">
        <w:rPr>
          <w:rFonts w:ascii="Verdana" w:hAnsi="Verdana"/>
        </w:rPr>
        <w:t xml:space="preserve"> </w:t>
      </w:r>
      <w:r w:rsidRPr="00685B34">
        <w:rPr>
          <w:rFonts w:ascii="Verdana" w:hAnsi="Verdana"/>
        </w:rPr>
        <w:t>housing stock.</w:t>
      </w:r>
    </w:p>
    <w:p w14:paraId="0E7511DC" w14:textId="77777777" w:rsidR="00685B34" w:rsidRPr="00685B34" w:rsidRDefault="00685B34" w:rsidP="00442041">
      <w:pPr>
        <w:ind w:left="720"/>
        <w:rPr>
          <w:rFonts w:ascii="Verdana" w:hAnsi="Verdana"/>
        </w:rPr>
      </w:pPr>
    </w:p>
    <w:p w14:paraId="39476A52" w14:textId="5B43AE77" w:rsidR="00685B34" w:rsidRPr="00685B34" w:rsidRDefault="00685B34" w:rsidP="00442041">
      <w:pPr>
        <w:ind w:left="720"/>
        <w:rPr>
          <w:rFonts w:ascii="Verdana" w:hAnsi="Verdana"/>
        </w:rPr>
      </w:pPr>
      <w:r w:rsidRPr="00685B34">
        <w:rPr>
          <w:rFonts w:ascii="Verdana" w:hAnsi="Verdana"/>
        </w:rPr>
        <w:t>They shall meet all applicable statutory and legal requirements in relation to</w:t>
      </w:r>
      <w:r w:rsidR="00442041">
        <w:rPr>
          <w:rFonts w:ascii="Verdana" w:hAnsi="Verdana"/>
        </w:rPr>
        <w:t xml:space="preserve"> </w:t>
      </w:r>
      <w:r w:rsidRPr="00685B34">
        <w:rPr>
          <w:rFonts w:ascii="Verdana" w:hAnsi="Verdana"/>
        </w:rPr>
        <w:t>the form and use of tenancy agreements or terms of occupation.</w:t>
      </w:r>
    </w:p>
    <w:p w14:paraId="03C6A5DB" w14:textId="77777777" w:rsidR="00685B34" w:rsidRPr="00685B34" w:rsidRDefault="00685B34" w:rsidP="00442041">
      <w:pPr>
        <w:ind w:left="720"/>
        <w:rPr>
          <w:rFonts w:ascii="Verdana" w:hAnsi="Verdana"/>
        </w:rPr>
      </w:pPr>
    </w:p>
    <w:p w14:paraId="76D582C5" w14:textId="12E772D7" w:rsidR="00685B34" w:rsidRPr="00685B34" w:rsidRDefault="00442041" w:rsidP="00442041">
      <w:pPr>
        <w:ind w:left="720"/>
        <w:rPr>
          <w:rFonts w:ascii="Verdana" w:hAnsi="Verdana"/>
          <w:b/>
          <w:bCs/>
        </w:rPr>
      </w:pPr>
      <w:r>
        <w:rPr>
          <w:rFonts w:ascii="Verdana" w:hAnsi="Verdana"/>
          <w:b/>
          <w:bCs/>
        </w:rPr>
        <w:t>4.</w:t>
      </w:r>
      <w:r>
        <w:rPr>
          <w:rFonts w:ascii="Verdana" w:hAnsi="Verdana"/>
          <w:b/>
          <w:bCs/>
        </w:rPr>
        <w:tab/>
      </w:r>
      <w:r w:rsidR="00685B34" w:rsidRPr="00685B34">
        <w:rPr>
          <w:rFonts w:ascii="Verdana" w:hAnsi="Verdana"/>
          <w:b/>
          <w:bCs/>
        </w:rPr>
        <w:t>Mutual exchange</w:t>
      </w:r>
    </w:p>
    <w:p w14:paraId="7806B2F4" w14:textId="77777777" w:rsidR="00685B34" w:rsidRPr="00685B34" w:rsidRDefault="00685B34" w:rsidP="00442041">
      <w:pPr>
        <w:ind w:left="720"/>
        <w:rPr>
          <w:rFonts w:ascii="Verdana" w:hAnsi="Verdana"/>
        </w:rPr>
      </w:pPr>
    </w:p>
    <w:p w14:paraId="5FCA7956" w14:textId="5A96019F" w:rsidR="00482290" w:rsidRDefault="00685B34" w:rsidP="00442041">
      <w:pPr>
        <w:ind w:left="720"/>
        <w:rPr>
          <w:rFonts w:ascii="Verdana" w:hAnsi="Verdana"/>
        </w:rPr>
      </w:pPr>
      <w:r w:rsidRPr="00685B34">
        <w:rPr>
          <w:rFonts w:ascii="Verdana" w:hAnsi="Verdana"/>
        </w:rPr>
        <w:t xml:space="preserve">Registered providers </w:t>
      </w:r>
      <w:r w:rsidR="00FE58EA">
        <w:rPr>
          <w:rFonts w:ascii="Verdana" w:hAnsi="Verdana"/>
        </w:rPr>
        <w:t xml:space="preserve">(Social Landlords) </w:t>
      </w:r>
      <w:r w:rsidRPr="00685B34">
        <w:rPr>
          <w:rFonts w:ascii="Verdana" w:hAnsi="Verdana"/>
        </w:rPr>
        <w:t>must support relevant tenants living in eligible housing to</w:t>
      </w:r>
      <w:r w:rsidR="00442041">
        <w:rPr>
          <w:rFonts w:ascii="Verdana" w:hAnsi="Verdana"/>
        </w:rPr>
        <w:t xml:space="preserve"> </w:t>
      </w:r>
      <w:r w:rsidRPr="00685B34">
        <w:rPr>
          <w:rFonts w:ascii="Verdana" w:hAnsi="Verdana"/>
        </w:rPr>
        <w:t>mutually exchange their homes.</w:t>
      </w:r>
      <w:r w:rsidR="000A06F7">
        <w:rPr>
          <w:rFonts w:ascii="Verdana" w:hAnsi="Verdana"/>
        </w:rPr>
        <w:t xml:space="preserve">  The Consumer Regulation Review 2023-2024 places emphasis on landlords enabling tenants to access opportunities to exchange their tenancy with that of another tenant and co-operate with local authorities to help them meet their strategic housing function.  This followed concern about mutual exchanges being given a lower priority.</w:t>
      </w:r>
    </w:p>
    <w:p w14:paraId="31ADB6E5" w14:textId="77777777" w:rsidR="00707B78" w:rsidRDefault="00707B78" w:rsidP="00707B78">
      <w:pPr>
        <w:rPr>
          <w:rFonts w:ascii="Verdana" w:hAnsi="Verdana"/>
        </w:rPr>
      </w:pPr>
    </w:p>
    <w:p w14:paraId="704E4A60" w14:textId="2CFD9C9C" w:rsidR="00707B78" w:rsidRDefault="00707B78" w:rsidP="00B44AED">
      <w:pPr>
        <w:ind w:left="720"/>
        <w:rPr>
          <w:rFonts w:ascii="Verdana" w:hAnsi="Verdana"/>
        </w:rPr>
      </w:pPr>
      <w:r>
        <w:rPr>
          <w:rFonts w:ascii="Verdana" w:hAnsi="Verdana"/>
        </w:rPr>
        <w:t>There is a specific expectation that</w:t>
      </w:r>
      <w:r w:rsidRPr="00707B78">
        <w:rPr>
          <w:rFonts w:ascii="Verdana" w:hAnsi="Verdana"/>
        </w:rPr>
        <w:t xml:space="preserve"> </w:t>
      </w:r>
      <w:r w:rsidR="00442041">
        <w:rPr>
          <w:rFonts w:ascii="Verdana" w:hAnsi="Verdana"/>
        </w:rPr>
        <w:t>Registered Providers</w:t>
      </w:r>
      <w:r w:rsidRPr="00707B78">
        <w:rPr>
          <w:rFonts w:ascii="Verdana" w:hAnsi="Verdana"/>
        </w:rPr>
        <w:t xml:space="preserve"> </w:t>
      </w:r>
      <w:r w:rsidR="00FE58EA">
        <w:rPr>
          <w:rFonts w:ascii="Verdana" w:hAnsi="Verdana"/>
        </w:rPr>
        <w:t xml:space="preserve">(Social Landlords) </w:t>
      </w:r>
      <w:r>
        <w:rPr>
          <w:rFonts w:ascii="Verdana" w:hAnsi="Verdana"/>
        </w:rPr>
        <w:t>shall</w:t>
      </w:r>
      <w:r w:rsidRPr="00707B78">
        <w:rPr>
          <w:rFonts w:ascii="Verdana" w:hAnsi="Verdana"/>
        </w:rPr>
        <w:t xml:space="preserve"> publish clear and accessible policies outlining their “approach to tenancy management, including interventions to sustain tenancies and prevent unnecessary evictions and </w:t>
      </w:r>
      <w:r w:rsidR="00442041">
        <w:rPr>
          <w:rFonts w:ascii="Verdana" w:hAnsi="Verdana"/>
        </w:rPr>
        <w:t>tackling</w:t>
      </w:r>
      <w:r w:rsidRPr="00707B78">
        <w:rPr>
          <w:rFonts w:ascii="Verdana" w:hAnsi="Verdana"/>
        </w:rPr>
        <w:t xml:space="preserve"> tenancy frau</w:t>
      </w:r>
      <w:r w:rsidR="00442041">
        <w:rPr>
          <w:rFonts w:ascii="Verdana" w:hAnsi="Verdana"/>
        </w:rPr>
        <w:t>d and set out:</w:t>
      </w:r>
    </w:p>
    <w:p w14:paraId="06884741" w14:textId="77777777" w:rsidR="002F2714" w:rsidRDefault="002F2714" w:rsidP="00707B78">
      <w:pPr>
        <w:rPr>
          <w:rFonts w:ascii="Verdana" w:hAnsi="Verdana"/>
        </w:rPr>
      </w:pPr>
    </w:p>
    <w:p w14:paraId="35223E30" w14:textId="5813796D" w:rsidR="002F2714" w:rsidRPr="00B0362D" w:rsidRDefault="002F2714" w:rsidP="00B0362D">
      <w:pPr>
        <w:pStyle w:val="ListParagraph"/>
        <w:numPr>
          <w:ilvl w:val="0"/>
          <w:numId w:val="49"/>
        </w:numPr>
        <w:rPr>
          <w:rFonts w:ascii="Verdana" w:hAnsi="Verdana"/>
        </w:rPr>
      </w:pPr>
      <w:r w:rsidRPr="00B0362D">
        <w:rPr>
          <w:rFonts w:ascii="Verdana" w:hAnsi="Verdana"/>
        </w:rPr>
        <w:t>The type of tenancies they will grant.</w:t>
      </w:r>
    </w:p>
    <w:p w14:paraId="7DB88C67" w14:textId="7AF42731" w:rsidR="002F2714" w:rsidRPr="00B0362D" w:rsidRDefault="002F2714" w:rsidP="00B0362D">
      <w:pPr>
        <w:pStyle w:val="ListParagraph"/>
        <w:numPr>
          <w:ilvl w:val="0"/>
          <w:numId w:val="49"/>
        </w:numPr>
        <w:rPr>
          <w:rFonts w:ascii="Verdana" w:hAnsi="Verdana"/>
        </w:rPr>
      </w:pPr>
      <w:r w:rsidRPr="00B0362D">
        <w:rPr>
          <w:rFonts w:ascii="Verdana" w:hAnsi="Verdana"/>
        </w:rPr>
        <w:t>Where they grant tenancies for a fixed term, the length of those terms.</w:t>
      </w:r>
    </w:p>
    <w:p w14:paraId="2BEF4ADF" w14:textId="58943AB8" w:rsidR="002F2714" w:rsidRPr="00B0362D" w:rsidRDefault="002F2714" w:rsidP="00B0362D">
      <w:pPr>
        <w:pStyle w:val="ListParagraph"/>
        <w:numPr>
          <w:ilvl w:val="0"/>
          <w:numId w:val="49"/>
        </w:numPr>
        <w:rPr>
          <w:rFonts w:ascii="Verdana" w:hAnsi="Verdana"/>
        </w:rPr>
      </w:pPr>
      <w:r w:rsidRPr="00B0362D">
        <w:rPr>
          <w:rFonts w:ascii="Verdana" w:hAnsi="Verdana"/>
        </w:rPr>
        <w:t>The circumstances in which they will grant tenancies of a particular type.</w:t>
      </w:r>
    </w:p>
    <w:p w14:paraId="161825CE" w14:textId="4E6F1887" w:rsidR="002F2714" w:rsidRPr="00B0362D" w:rsidRDefault="002F2714" w:rsidP="00B0362D">
      <w:pPr>
        <w:pStyle w:val="ListParagraph"/>
        <w:numPr>
          <w:ilvl w:val="0"/>
          <w:numId w:val="49"/>
        </w:numPr>
        <w:rPr>
          <w:rFonts w:ascii="Verdana" w:hAnsi="Verdana"/>
        </w:rPr>
      </w:pPr>
      <w:r w:rsidRPr="00B0362D">
        <w:rPr>
          <w:rFonts w:ascii="Verdana" w:hAnsi="Verdana"/>
        </w:rPr>
        <w:t>Any exceptional circumstances in which they will grant fixed term tenancies for a term of less than five years in general needs housing following any probationary period.</w:t>
      </w:r>
    </w:p>
    <w:p w14:paraId="376F0CAE" w14:textId="74716586" w:rsidR="002F2714" w:rsidRPr="00B0362D" w:rsidRDefault="002F2714" w:rsidP="00B0362D">
      <w:pPr>
        <w:pStyle w:val="ListParagraph"/>
        <w:numPr>
          <w:ilvl w:val="0"/>
          <w:numId w:val="49"/>
        </w:numPr>
        <w:rPr>
          <w:rFonts w:ascii="Verdana" w:hAnsi="Verdana"/>
        </w:rPr>
      </w:pPr>
      <w:r w:rsidRPr="00B0362D">
        <w:rPr>
          <w:rFonts w:ascii="Verdana" w:hAnsi="Verdana"/>
        </w:rPr>
        <w:t>The circumstances in which they may or may not grant another tenancy on the expiry of the fixed term, in the same property or in a different property.</w:t>
      </w:r>
    </w:p>
    <w:p w14:paraId="3A463592" w14:textId="0C3245A4" w:rsidR="002F2714" w:rsidRPr="00B0362D" w:rsidRDefault="002F2714" w:rsidP="00B0362D">
      <w:pPr>
        <w:pStyle w:val="ListParagraph"/>
        <w:numPr>
          <w:ilvl w:val="0"/>
          <w:numId w:val="49"/>
        </w:numPr>
        <w:rPr>
          <w:rFonts w:ascii="Verdana" w:hAnsi="Verdana"/>
        </w:rPr>
      </w:pPr>
      <w:r w:rsidRPr="00B0362D">
        <w:rPr>
          <w:rFonts w:ascii="Verdana" w:hAnsi="Verdana"/>
        </w:rPr>
        <w:t>The way in which a tenant or prospective tenant may appeal against or complain about the length of fixed term tenancy offered and the type of tenancy offered, and against a decision not to grant another tenancy on the expiry of the fixed term.</w:t>
      </w:r>
    </w:p>
    <w:p w14:paraId="3281EB05" w14:textId="42D47B04" w:rsidR="002F2714" w:rsidRPr="00B0362D" w:rsidRDefault="002F2714" w:rsidP="00B0362D">
      <w:pPr>
        <w:pStyle w:val="ListParagraph"/>
        <w:numPr>
          <w:ilvl w:val="0"/>
          <w:numId w:val="49"/>
        </w:numPr>
        <w:rPr>
          <w:rFonts w:ascii="Verdana" w:hAnsi="Verdana"/>
        </w:rPr>
      </w:pPr>
      <w:r w:rsidRPr="00B0362D">
        <w:rPr>
          <w:rFonts w:ascii="Verdana" w:hAnsi="Verdana"/>
        </w:rPr>
        <w:t xml:space="preserve">Their policy on </w:t>
      </w:r>
      <w:proofErr w:type="gramStart"/>
      <w:r w:rsidRPr="00B0362D">
        <w:rPr>
          <w:rFonts w:ascii="Verdana" w:hAnsi="Verdana"/>
        </w:rPr>
        <w:t>taking into account</w:t>
      </w:r>
      <w:proofErr w:type="gramEnd"/>
      <w:r w:rsidRPr="00B0362D">
        <w:rPr>
          <w:rFonts w:ascii="Verdana" w:hAnsi="Verdana"/>
        </w:rPr>
        <w:t xml:space="preserve"> the needs of those households who are vulnerable by reason of age, disability or illness, and households with children, including through the provision of tenancies which provide a reasonable degree of stability.</w:t>
      </w:r>
    </w:p>
    <w:p w14:paraId="3D21F582" w14:textId="58BA31CB" w:rsidR="002F2714" w:rsidRPr="00B0362D" w:rsidRDefault="002F2714" w:rsidP="00B0362D">
      <w:pPr>
        <w:pStyle w:val="ListParagraph"/>
        <w:numPr>
          <w:ilvl w:val="0"/>
          <w:numId w:val="49"/>
        </w:numPr>
        <w:rPr>
          <w:rFonts w:ascii="Verdana" w:hAnsi="Verdana"/>
        </w:rPr>
      </w:pPr>
      <w:r w:rsidRPr="00B0362D">
        <w:rPr>
          <w:rFonts w:ascii="Verdana" w:hAnsi="Verdana"/>
        </w:rPr>
        <w:lastRenderedPageBreak/>
        <w:t xml:space="preserve">The advice and assistance they will give to tenants on finding alternative accommodation </w:t>
      </w:r>
      <w:proofErr w:type="gramStart"/>
      <w:r w:rsidRPr="00B0362D">
        <w:rPr>
          <w:rFonts w:ascii="Verdana" w:hAnsi="Verdana"/>
        </w:rPr>
        <w:t>in the event that</w:t>
      </w:r>
      <w:proofErr w:type="gramEnd"/>
      <w:r w:rsidRPr="00B0362D">
        <w:rPr>
          <w:rFonts w:ascii="Verdana" w:hAnsi="Verdana"/>
        </w:rPr>
        <w:t xml:space="preserve"> they decide not to grant another tenancy.</w:t>
      </w:r>
    </w:p>
    <w:p w14:paraId="5AD45C22" w14:textId="720A68C6" w:rsidR="002F2714" w:rsidRPr="00B0362D" w:rsidRDefault="002F2714" w:rsidP="00B0362D">
      <w:pPr>
        <w:pStyle w:val="ListParagraph"/>
        <w:numPr>
          <w:ilvl w:val="0"/>
          <w:numId w:val="49"/>
        </w:numPr>
        <w:rPr>
          <w:rFonts w:ascii="Verdana" w:hAnsi="Verdana"/>
        </w:rPr>
      </w:pPr>
      <w:r w:rsidRPr="00B0362D">
        <w:rPr>
          <w:rFonts w:ascii="Verdana" w:hAnsi="Verdana"/>
        </w:rPr>
        <w:t>Their policy on granting discretionary succession rights, taking account of the needs of vulnerable household members.</w:t>
      </w:r>
    </w:p>
    <w:p w14:paraId="1FDF7160" w14:textId="77777777" w:rsidR="002F2714" w:rsidRDefault="002F2714" w:rsidP="00707B78">
      <w:pPr>
        <w:rPr>
          <w:rFonts w:ascii="Verdana" w:hAnsi="Verdana"/>
        </w:rPr>
      </w:pPr>
    </w:p>
    <w:p w14:paraId="5A0D2E5D" w14:textId="7DF60C96" w:rsidR="002F2714" w:rsidRDefault="002F2714" w:rsidP="00B44AED">
      <w:pPr>
        <w:ind w:left="720"/>
        <w:rPr>
          <w:rFonts w:ascii="Verdana" w:hAnsi="Verdana"/>
        </w:rPr>
      </w:pPr>
      <w:r>
        <w:rPr>
          <w:rFonts w:ascii="Verdana" w:hAnsi="Verdana"/>
        </w:rPr>
        <w:t xml:space="preserve">Appendix </w:t>
      </w:r>
      <w:r w:rsidR="001539D9">
        <w:rPr>
          <w:rFonts w:ascii="Verdana" w:hAnsi="Verdana"/>
        </w:rPr>
        <w:t>T</w:t>
      </w:r>
      <w:r>
        <w:rPr>
          <w:rFonts w:ascii="Verdana" w:hAnsi="Verdana"/>
        </w:rPr>
        <w:t xml:space="preserve">hree contains website addresses where </w:t>
      </w:r>
      <w:r w:rsidR="001539D9">
        <w:rPr>
          <w:rFonts w:ascii="Verdana" w:hAnsi="Verdana"/>
        </w:rPr>
        <w:t xml:space="preserve">the </w:t>
      </w:r>
      <w:r>
        <w:rPr>
          <w:rFonts w:ascii="Verdana" w:hAnsi="Verdana"/>
        </w:rPr>
        <w:t>tenancy policies for some of the larger Private Registered Providers operating in the Designated Area</w:t>
      </w:r>
      <w:r w:rsidR="001539D9">
        <w:rPr>
          <w:rFonts w:ascii="Verdana" w:hAnsi="Verdana"/>
        </w:rPr>
        <w:t xml:space="preserve"> can be found</w:t>
      </w:r>
      <w:r>
        <w:rPr>
          <w:rFonts w:ascii="Verdana" w:hAnsi="Verdana"/>
        </w:rPr>
        <w:t>.</w:t>
      </w:r>
    </w:p>
    <w:bookmarkEnd w:id="8"/>
    <w:p w14:paraId="46B8925B" w14:textId="2D6B6C3C" w:rsidR="002F2714" w:rsidRPr="00707B78" w:rsidRDefault="002F2714" w:rsidP="00707B78">
      <w:pPr>
        <w:rPr>
          <w:rFonts w:ascii="Verdana" w:hAnsi="Verdana"/>
        </w:rPr>
      </w:pPr>
    </w:p>
    <w:p w14:paraId="31D38E77" w14:textId="1E98C3F5" w:rsidR="00215EFF" w:rsidRDefault="00176B1C" w:rsidP="00B0362D">
      <w:pPr>
        <w:rPr>
          <w:rFonts w:ascii="Verdana" w:hAnsi="Verdana"/>
          <w:b/>
        </w:rPr>
      </w:pPr>
      <w:r>
        <w:rPr>
          <w:rFonts w:ascii="Verdana" w:hAnsi="Verdana"/>
          <w:b/>
        </w:rPr>
        <w:t>3</w:t>
      </w:r>
      <w:r w:rsidR="00215EFF" w:rsidRPr="00215EFF">
        <w:rPr>
          <w:rFonts w:ascii="Verdana" w:hAnsi="Verdana"/>
          <w:b/>
        </w:rPr>
        <w:t>.</w:t>
      </w:r>
      <w:r w:rsidR="00B0362D">
        <w:rPr>
          <w:rFonts w:ascii="Verdana" w:hAnsi="Verdana"/>
          <w:b/>
        </w:rPr>
        <w:t>2</w:t>
      </w:r>
      <w:r w:rsidR="00215EFF" w:rsidRPr="00215EFF">
        <w:rPr>
          <w:rFonts w:ascii="Verdana" w:hAnsi="Verdana"/>
          <w:b/>
        </w:rPr>
        <w:t>.2</w:t>
      </w:r>
      <w:r w:rsidR="00EA7831">
        <w:rPr>
          <w:rFonts w:ascii="Verdana" w:hAnsi="Verdana"/>
          <w:b/>
        </w:rPr>
        <w:t xml:space="preserve"> </w:t>
      </w:r>
      <w:r w:rsidR="00215EFF" w:rsidRPr="00215EFF">
        <w:rPr>
          <w:rFonts w:ascii="Verdana" w:hAnsi="Verdana"/>
          <w:b/>
        </w:rPr>
        <w:t>Allocations</w:t>
      </w:r>
      <w:r w:rsidR="00442041">
        <w:rPr>
          <w:rFonts w:ascii="Verdana" w:hAnsi="Verdana"/>
          <w:b/>
        </w:rPr>
        <w:t xml:space="preserve"> and lettings</w:t>
      </w:r>
    </w:p>
    <w:p w14:paraId="152DCB0E" w14:textId="77777777" w:rsidR="00BC115F" w:rsidRDefault="00BC115F" w:rsidP="00176B1C">
      <w:pPr>
        <w:ind w:left="720"/>
        <w:rPr>
          <w:rFonts w:ascii="Verdana" w:hAnsi="Verdana"/>
          <w:b/>
        </w:rPr>
      </w:pPr>
    </w:p>
    <w:p w14:paraId="5DDB822E" w14:textId="52428BAE" w:rsidR="00D03DF0" w:rsidRPr="00BC115F" w:rsidRDefault="00BC115F" w:rsidP="00BC115F">
      <w:pPr>
        <w:rPr>
          <w:rFonts w:ascii="Verdana" w:hAnsi="Verdana"/>
          <w:bCs/>
        </w:rPr>
      </w:pPr>
      <w:r w:rsidRPr="00BC115F">
        <w:rPr>
          <w:rFonts w:ascii="Verdana" w:hAnsi="Verdana"/>
          <w:bCs/>
        </w:rPr>
        <w:t>Registered providers</w:t>
      </w:r>
      <w:r w:rsidR="00516562">
        <w:rPr>
          <w:rFonts w:ascii="Verdana" w:hAnsi="Verdana"/>
          <w:bCs/>
        </w:rPr>
        <w:t xml:space="preserve"> (Social Landlords) </w:t>
      </w:r>
      <w:r w:rsidRPr="00BC115F">
        <w:rPr>
          <w:rFonts w:ascii="Verdana" w:hAnsi="Verdana"/>
          <w:bCs/>
        </w:rPr>
        <w:t>must co-operate with local authorities’ strategic housing functions and assist local authorities to fulfil their duties to meet identified local housing need. This includes assistance with local authorities’ homelessness duties, and through meeting obligations in nominations agreements.</w:t>
      </w:r>
    </w:p>
    <w:p w14:paraId="4B2642C7" w14:textId="77777777" w:rsidR="00176B1C" w:rsidRPr="00BC115F" w:rsidRDefault="00176B1C" w:rsidP="00E40DCC">
      <w:pPr>
        <w:rPr>
          <w:rFonts w:ascii="Verdana" w:hAnsi="Verdana"/>
          <w:bCs/>
        </w:rPr>
      </w:pPr>
    </w:p>
    <w:p w14:paraId="15DCAF34" w14:textId="1E352C28" w:rsidR="00215EFF" w:rsidRDefault="00176B1C" w:rsidP="00B0362D">
      <w:pPr>
        <w:rPr>
          <w:rFonts w:ascii="Verdana" w:hAnsi="Verdana"/>
          <w:b/>
          <w:bCs/>
        </w:rPr>
      </w:pPr>
      <w:r>
        <w:rPr>
          <w:rFonts w:ascii="Verdana" w:hAnsi="Verdana"/>
          <w:b/>
          <w:bCs/>
        </w:rPr>
        <w:t>3</w:t>
      </w:r>
      <w:r w:rsidR="00215EFF">
        <w:rPr>
          <w:rFonts w:ascii="Verdana" w:hAnsi="Verdana"/>
          <w:b/>
          <w:bCs/>
        </w:rPr>
        <w:t>.</w:t>
      </w:r>
      <w:r w:rsidR="00B0362D">
        <w:rPr>
          <w:rFonts w:ascii="Verdana" w:hAnsi="Verdana"/>
          <w:b/>
          <w:bCs/>
        </w:rPr>
        <w:t>2</w:t>
      </w:r>
      <w:r w:rsidR="00215EFF">
        <w:rPr>
          <w:rFonts w:ascii="Verdana" w:hAnsi="Verdana"/>
          <w:b/>
          <w:bCs/>
        </w:rPr>
        <w:t>.</w:t>
      </w:r>
      <w:r w:rsidR="00215EFF" w:rsidRPr="001E4679">
        <w:rPr>
          <w:rFonts w:ascii="Verdana" w:hAnsi="Verdana"/>
          <w:b/>
          <w:bCs/>
        </w:rPr>
        <w:t xml:space="preserve">3 Existing </w:t>
      </w:r>
      <w:r w:rsidR="00583667">
        <w:rPr>
          <w:rFonts w:ascii="Verdana" w:hAnsi="Verdana"/>
          <w:b/>
          <w:bCs/>
        </w:rPr>
        <w:t>t</w:t>
      </w:r>
      <w:r w:rsidR="00215EFF" w:rsidRPr="001E4679">
        <w:rPr>
          <w:rFonts w:ascii="Verdana" w:hAnsi="Verdana"/>
          <w:b/>
          <w:bCs/>
        </w:rPr>
        <w:t xml:space="preserve">enants </w:t>
      </w:r>
    </w:p>
    <w:p w14:paraId="216721C5" w14:textId="77777777" w:rsidR="00D03DF0" w:rsidRPr="001E4679" w:rsidRDefault="00D03DF0" w:rsidP="00176B1C">
      <w:pPr>
        <w:ind w:left="720"/>
        <w:rPr>
          <w:rFonts w:ascii="Verdana" w:hAnsi="Verdana"/>
        </w:rPr>
      </w:pPr>
    </w:p>
    <w:p w14:paraId="4E3A0860" w14:textId="1D45F074" w:rsidR="00883932" w:rsidRDefault="00215EFF" w:rsidP="00215EFF">
      <w:pPr>
        <w:rPr>
          <w:rFonts w:ascii="Verdana" w:hAnsi="Verdana"/>
        </w:rPr>
      </w:pPr>
      <w:r>
        <w:rPr>
          <w:rFonts w:ascii="Verdana" w:hAnsi="Verdana"/>
        </w:rPr>
        <w:t xml:space="preserve">The Tenancy Standard </w:t>
      </w:r>
      <w:r w:rsidR="00883932">
        <w:rPr>
          <w:rFonts w:ascii="Verdana" w:hAnsi="Verdana"/>
        </w:rPr>
        <w:t>sets out two groups of tenants who are to be granted tenancies with no less security than their original tenancy:</w:t>
      </w:r>
    </w:p>
    <w:p w14:paraId="09A04254" w14:textId="77777777" w:rsidR="00BC115F" w:rsidRDefault="00BC115F" w:rsidP="00215EFF">
      <w:pPr>
        <w:rPr>
          <w:rFonts w:ascii="Verdana" w:hAnsi="Verdana"/>
        </w:rPr>
      </w:pPr>
    </w:p>
    <w:p w14:paraId="52EB6BC1" w14:textId="1773F3DA" w:rsidR="00BC115F" w:rsidRPr="00B44AED" w:rsidRDefault="00BC115F" w:rsidP="00B44AED">
      <w:pPr>
        <w:pStyle w:val="ListParagraph"/>
        <w:numPr>
          <w:ilvl w:val="0"/>
          <w:numId w:val="45"/>
        </w:numPr>
        <w:rPr>
          <w:rFonts w:ascii="Verdana" w:hAnsi="Verdana"/>
        </w:rPr>
      </w:pPr>
      <w:r w:rsidRPr="00BC115F">
        <w:rPr>
          <w:rFonts w:ascii="Verdana" w:hAnsi="Verdana"/>
        </w:rPr>
        <w:t xml:space="preserve">Registered providers </w:t>
      </w:r>
      <w:r w:rsidR="00E8456A">
        <w:rPr>
          <w:rFonts w:ascii="Verdana" w:hAnsi="Verdana"/>
        </w:rPr>
        <w:t xml:space="preserve">(Social Landlords) </w:t>
      </w:r>
      <w:r w:rsidRPr="00BC115F">
        <w:rPr>
          <w:rFonts w:ascii="Verdana" w:hAnsi="Verdana"/>
        </w:rPr>
        <w:t xml:space="preserve">shall grant those who were </w:t>
      </w:r>
      <w:r w:rsidR="00E8456A">
        <w:rPr>
          <w:rFonts w:ascii="Verdana" w:hAnsi="Verdana"/>
        </w:rPr>
        <w:t>S</w:t>
      </w:r>
      <w:r w:rsidRPr="00BC115F">
        <w:rPr>
          <w:rFonts w:ascii="Verdana" w:hAnsi="Verdana"/>
        </w:rPr>
        <w:t xml:space="preserve">ocial </w:t>
      </w:r>
      <w:r w:rsidR="00E8456A">
        <w:rPr>
          <w:rFonts w:ascii="Verdana" w:hAnsi="Verdana"/>
        </w:rPr>
        <w:t>H</w:t>
      </w:r>
      <w:r w:rsidRPr="00BC115F">
        <w:rPr>
          <w:rFonts w:ascii="Verdana" w:hAnsi="Verdana"/>
        </w:rPr>
        <w:t>ousing tenants on</w:t>
      </w:r>
      <w:r w:rsidR="00B44AED">
        <w:rPr>
          <w:rFonts w:ascii="Verdana" w:hAnsi="Verdana"/>
        </w:rPr>
        <w:t xml:space="preserve"> t</w:t>
      </w:r>
      <w:r w:rsidRPr="00B44AED">
        <w:rPr>
          <w:rFonts w:ascii="Verdana" w:hAnsi="Verdana"/>
        </w:rPr>
        <w:t xml:space="preserve">he day on which section 154 of the Localism Act 2011 </w:t>
      </w:r>
      <w:r w:rsidR="00E324D8" w:rsidRPr="00B44AED">
        <w:rPr>
          <w:rFonts w:ascii="Verdana" w:hAnsi="Verdana"/>
        </w:rPr>
        <w:t xml:space="preserve">came </w:t>
      </w:r>
      <w:r w:rsidRPr="00B44AED">
        <w:rPr>
          <w:rFonts w:ascii="Verdana" w:hAnsi="Verdana"/>
        </w:rPr>
        <w:t xml:space="preserve">into force, and </w:t>
      </w:r>
      <w:r w:rsidR="00E324D8" w:rsidRPr="00B44AED">
        <w:rPr>
          <w:rFonts w:ascii="Verdana" w:hAnsi="Verdana"/>
        </w:rPr>
        <w:t xml:space="preserve">who </w:t>
      </w:r>
      <w:r w:rsidRPr="00B44AED">
        <w:rPr>
          <w:rFonts w:ascii="Verdana" w:hAnsi="Verdana"/>
        </w:rPr>
        <w:t xml:space="preserve">have remained </w:t>
      </w:r>
      <w:r w:rsidR="00E8456A" w:rsidRPr="00B44AED">
        <w:rPr>
          <w:rFonts w:ascii="Verdana" w:hAnsi="Verdana"/>
        </w:rPr>
        <w:t>S</w:t>
      </w:r>
      <w:r w:rsidRPr="00B44AED">
        <w:rPr>
          <w:rFonts w:ascii="Verdana" w:hAnsi="Verdana"/>
        </w:rPr>
        <w:t xml:space="preserve">ocial </w:t>
      </w:r>
      <w:r w:rsidR="00E8456A" w:rsidRPr="00B44AED">
        <w:rPr>
          <w:rFonts w:ascii="Verdana" w:hAnsi="Verdana"/>
        </w:rPr>
        <w:t>H</w:t>
      </w:r>
      <w:r w:rsidRPr="00B44AED">
        <w:rPr>
          <w:rFonts w:ascii="Verdana" w:hAnsi="Verdana"/>
        </w:rPr>
        <w:t>ousing tenants since that date, a tenancy with no less security where they choose to move to another social rented home, whether with the same or another landlord. (This requirement does not apply where tenants choose to move to accommodation let on Affordable Rent terms).</w:t>
      </w:r>
    </w:p>
    <w:p w14:paraId="575645E0" w14:textId="77777777" w:rsidR="00BC115F" w:rsidRDefault="00BC115F" w:rsidP="00BC115F">
      <w:pPr>
        <w:pStyle w:val="ListParagraph"/>
        <w:rPr>
          <w:rFonts w:ascii="Verdana" w:hAnsi="Verdana"/>
        </w:rPr>
      </w:pPr>
    </w:p>
    <w:p w14:paraId="169AFB0A" w14:textId="1162D502" w:rsidR="00BC115F" w:rsidRPr="00B44AED" w:rsidRDefault="00BC115F" w:rsidP="00B44AED">
      <w:pPr>
        <w:pStyle w:val="ListParagraph"/>
        <w:numPr>
          <w:ilvl w:val="0"/>
          <w:numId w:val="45"/>
        </w:numPr>
        <w:rPr>
          <w:rFonts w:ascii="Verdana" w:hAnsi="Verdana"/>
        </w:rPr>
      </w:pPr>
      <w:r w:rsidRPr="00BC115F">
        <w:rPr>
          <w:rFonts w:ascii="Verdana" w:hAnsi="Verdana"/>
        </w:rPr>
        <w:t xml:space="preserve">Registered providers </w:t>
      </w:r>
      <w:r w:rsidR="004D5F22">
        <w:rPr>
          <w:rFonts w:ascii="Verdana" w:hAnsi="Verdana"/>
        </w:rPr>
        <w:t xml:space="preserve">(Social Landlords) </w:t>
      </w:r>
      <w:r w:rsidRPr="00BC115F">
        <w:rPr>
          <w:rFonts w:ascii="Verdana" w:hAnsi="Verdana"/>
        </w:rPr>
        <w:t>shall grant tenants who have been moved into</w:t>
      </w:r>
      <w:r w:rsidR="00B44AED">
        <w:rPr>
          <w:rFonts w:ascii="Verdana" w:hAnsi="Verdana"/>
        </w:rPr>
        <w:t xml:space="preserve"> </w:t>
      </w:r>
      <w:r w:rsidRPr="00B44AED">
        <w:rPr>
          <w:rFonts w:ascii="Verdana" w:hAnsi="Verdana"/>
        </w:rPr>
        <w:t>alternative accommodation during any redevelopment or other works a</w:t>
      </w:r>
      <w:r w:rsidR="00B44AED">
        <w:rPr>
          <w:rFonts w:ascii="Verdana" w:hAnsi="Verdana"/>
        </w:rPr>
        <w:t xml:space="preserve"> </w:t>
      </w:r>
      <w:r w:rsidRPr="00B44AED">
        <w:rPr>
          <w:rFonts w:ascii="Verdana" w:hAnsi="Verdana"/>
        </w:rPr>
        <w:t>tenancy with no less security of tenure on their return to settled</w:t>
      </w:r>
    </w:p>
    <w:p w14:paraId="20FC3F07" w14:textId="529D5B97" w:rsidR="00BC115F" w:rsidRPr="00BC115F" w:rsidRDefault="00BC115F" w:rsidP="00BC115F">
      <w:pPr>
        <w:pStyle w:val="ListParagraph"/>
        <w:rPr>
          <w:rFonts w:ascii="Verdana" w:hAnsi="Verdana"/>
        </w:rPr>
      </w:pPr>
      <w:r w:rsidRPr="00BC115F">
        <w:rPr>
          <w:rFonts w:ascii="Verdana" w:hAnsi="Verdana"/>
        </w:rPr>
        <w:t>accommodation.</w:t>
      </w:r>
    </w:p>
    <w:p w14:paraId="6A145A29" w14:textId="77777777" w:rsidR="00215EFF" w:rsidRDefault="00215EFF" w:rsidP="00215EFF">
      <w:pPr>
        <w:rPr>
          <w:rFonts w:ascii="Verdana" w:hAnsi="Verdana"/>
        </w:rPr>
      </w:pPr>
    </w:p>
    <w:p w14:paraId="29D3B442" w14:textId="3E57CFEC" w:rsidR="00215EFF" w:rsidRDefault="00215EFF" w:rsidP="00215EFF">
      <w:pPr>
        <w:rPr>
          <w:rFonts w:ascii="Verdana" w:hAnsi="Verdana"/>
        </w:rPr>
      </w:pPr>
      <w:r w:rsidRPr="001E4679">
        <w:rPr>
          <w:rFonts w:ascii="Verdana" w:hAnsi="Verdana"/>
        </w:rPr>
        <w:t>In th</w:t>
      </w:r>
      <w:r>
        <w:rPr>
          <w:rFonts w:ascii="Verdana" w:hAnsi="Verdana"/>
        </w:rPr>
        <w:t xml:space="preserve">e </w:t>
      </w:r>
      <w:r w:rsidRPr="001E4679">
        <w:rPr>
          <w:rFonts w:ascii="Verdana" w:hAnsi="Verdana"/>
        </w:rPr>
        <w:t xml:space="preserve">case </w:t>
      </w:r>
      <w:r w:rsidR="00883932">
        <w:rPr>
          <w:rFonts w:ascii="Verdana" w:hAnsi="Verdana"/>
        </w:rPr>
        <w:t xml:space="preserve">of the exception for those moving to an “Affordable Rent” home </w:t>
      </w:r>
      <w:r w:rsidRPr="001E4679">
        <w:rPr>
          <w:rFonts w:ascii="Verdana" w:hAnsi="Verdana"/>
        </w:rPr>
        <w:t xml:space="preserve">it will be important that the tenant has all the information needed to make an informed decision on the rights that they would be giving up </w:t>
      </w:r>
      <w:r w:rsidR="00363FD0" w:rsidRPr="001E4679">
        <w:rPr>
          <w:rFonts w:ascii="Verdana" w:hAnsi="Verdana"/>
        </w:rPr>
        <w:t>facilitating</w:t>
      </w:r>
      <w:r w:rsidRPr="001E4679">
        <w:rPr>
          <w:rFonts w:ascii="Verdana" w:hAnsi="Verdana"/>
        </w:rPr>
        <w:t xml:space="preserve"> this move.</w:t>
      </w:r>
    </w:p>
    <w:p w14:paraId="39B707E4" w14:textId="77777777" w:rsidR="00707B78" w:rsidRDefault="00707B78" w:rsidP="00707B78">
      <w:pPr>
        <w:rPr>
          <w:rFonts w:ascii="Verdana" w:hAnsi="Verdana"/>
        </w:rPr>
      </w:pPr>
    </w:p>
    <w:p w14:paraId="789AD7EC" w14:textId="00B51F71" w:rsidR="00B0362D" w:rsidRPr="00B0362D" w:rsidRDefault="00B0362D" w:rsidP="00E40DCC">
      <w:pPr>
        <w:rPr>
          <w:rFonts w:ascii="Verdana" w:hAnsi="Verdana"/>
          <w:b/>
          <w:bCs/>
          <w:sz w:val="28"/>
          <w:szCs w:val="28"/>
        </w:rPr>
      </w:pPr>
      <w:r w:rsidRPr="00B0362D">
        <w:rPr>
          <w:rFonts w:ascii="Verdana" w:hAnsi="Verdana"/>
          <w:b/>
          <w:bCs/>
          <w:sz w:val="28"/>
          <w:szCs w:val="28"/>
        </w:rPr>
        <w:t>4.</w:t>
      </w:r>
      <w:r w:rsidRPr="00B0362D">
        <w:rPr>
          <w:rFonts w:ascii="Verdana" w:hAnsi="Verdana"/>
          <w:b/>
          <w:bCs/>
          <w:sz w:val="28"/>
          <w:szCs w:val="28"/>
        </w:rPr>
        <w:tab/>
        <w:t>The Tenancy Strategy Principles</w:t>
      </w:r>
    </w:p>
    <w:p w14:paraId="1437A870" w14:textId="77777777" w:rsidR="00B0362D" w:rsidRDefault="00B0362D" w:rsidP="00E40DCC">
      <w:pPr>
        <w:rPr>
          <w:rFonts w:ascii="Verdana" w:hAnsi="Verdana"/>
          <w:b/>
          <w:bCs/>
        </w:rPr>
      </w:pPr>
    </w:p>
    <w:p w14:paraId="3DB68D58" w14:textId="72434A24" w:rsidR="00E40DCC" w:rsidRDefault="00B0362D" w:rsidP="00E40DCC">
      <w:pPr>
        <w:rPr>
          <w:rFonts w:ascii="Verdana" w:hAnsi="Verdana"/>
          <w:b/>
          <w:bCs/>
        </w:rPr>
      </w:pPr>
      <w:r>
        <w:rPr>
          <w:rFonts w:ascii="Verdana" w:hAnsi="Verdana"/>
          <w:b/>
          <w:bCs/>
        </w:rPr>
        <w:t>4.1</w:t>
      </w:r>
      <w:r w:rsidR="00E40DCC" w:rsidRPr="006C79A8">
        <w:rPr>
          <w:rFonts w:ascii="Verdana" w:hAnsi="Verdana"/>
          <w:b/>
          <w:bCs/>
        </w:rPr>
        <w:tab/>
        <w:t xml:space="preserve">Allocations </w:t>
      </w:r>
      <w:r w:rsidR="00280DA1" w:rsidRPr="006C79A8">
        <w:rPr>
          <w:rFonts w:ascii="Verdana" w:hAnsi="Verdana"/>
          <w:b/>
          <w:bCs/>
        </w:rPr>
        <w:t xml:space="preserve">Schemes </w:t>
      </w:r>
    </w:p>
    <w:p w14:paraId="2767A206" w14:textId="77777777" w:rsidR="00D03DF0" w:rsidRPr="006C79A8" w:rsidRDefault="00D03DF0" w:rsidP="00E40DCC">
      <w:pPr>
        <w:rPr>
          <w:rFonts w:ascii="Verdana" w:hAnsi="Verdana"/>
          <w:b/>
          <w:sz w:val="28"/>
          <w:szCs w:val="28"/>
        </w:rPr>
      </w:pPr>
    </w:p>
    <w:p w14:paraId="1F5948CE" w14:textId="77777777" w:rsidR="00883932" w:rsidRPr="006C79A8" w:rsidRDefault="00883932" w:rsidP="00E40DCC">
      <w:pPr>
        <w:rPr>
          <w:rFonts w:ascii="Verdana" w:hAnsi="Verdana"/>
        </w:rPr>
      </w:pPr>
      <w:r w:rsidRPr="006C79A8">
        <w:rPr>
          <w:rFonts w:ascii="Verdana" w:hAnsi="Verdana"/>
        </w:rPr>
        <w:t>Each of the Councils has its own Allocations Scheme. However, there are some common principles that underpin these policies across the Designated Area that are relevant to this Tenancy Strategy</w:t>
      </w:r>
      <w:r w:rsidR="00280DA1" w:rsidRPr="006C79A8">
        <w:rPr>
          <w:rFonts w:ascii="Verdana" w:hAnsi="Verdana"/>
        </w:rPr>
        <w:t>.</w:t>
      </w:r>
    </w:p>
    <w:p w14:paraId="3F4AC686" w14:textId="77777777" w:rsidR="00883932" w:rsidRPr="006C79A8" w:rsidRDefault="00883932" w:rsidP="00E40DCC">
      <w:pPr>
        <w:rPr>
          <w:rFonts w:ascii="Verdana" w:hAnsi="Verdana"/>
        </w:rPr>
      </w:pPr>
    </w:p>
    <w:p w14:paraId="32AEEBA8" w14:textId="48CD7AD2" w:rsidR="00280DA1" w:rsidRPr="006C79A8" w:rsidRDefault="00280DA1" w:rsidP="00883932">
      <w:pPr>
        <w:rPr>
          <w:rFonts w:ascii="Verdana" w:hAnsi="Verdana"/>
        </w:rPr>
      </w:pPr>
      <w:r w:rsidRPr="006C79A8">
        <w:rPr>
          <w:rFonts w:ascii="Verdana" w:hAnsi="Verdana"/>
        </w:rPr>
        <w:t xml:space="preserve">Subject to certain qualification rules, housing registers are </w:t>
      </w:r>
      <w:r w:rsidR="00C55F24" w:rsidRPr="006C79A8">
        <w:rPr>
          <w:rFonts w:ascii="Verdana" w:hAnsi="Verdana"/>
        </w:rPr>
        <w:t>open,</w:t>
      </w:r>
      <w:r w:rsidRPr="006C79A8">
        <w:rPr>
          <w:rFonts w:ascii="Verdana" w:hAnsi="Verdana"/>
        </w:rPr>
        <w:t xml:space="preserve"> and applicants are not asked to </w:t>
      </w:r>
      <w:r w:rsidR="006C79A8" w:rsidRPr="006C79A8">
        <w:rPr>
          <w:rFonts w:ascii="Verdana" w:hAnsi="Verdana"/>
        </w:rPr>
        <w:t xml:space="preserve">choose </w:t>
      </w:r>
      <w:r w:rsidR="006C79A8">
        <w:rPr>
          <w:rFonts w:ascii="Verdana" w:hAnsi="Verdana"/>
        </w:rPr>
        <w:t>the</w:t>
      </w:r>
      <w:r w:rsidR="006C79A8" w:rsidRPr="006C79A8">
        <w:rPr>
          <w:rFonts w:ascii="Verdana" w:hAnsi="Verdana"/>
        </w:rPr>
        <w:t xml:space="preserve"> type</w:t>
      </w:r>
      <w:r w:rsidR="006C79A8">
        <w:rPr>
          <w:rFonts w:ascii="Verdana" w:hAnsi="Verdana"/>
        </w:rPr>
        <w:t>s</w:t>
      </w:r>
      <w:r w:rsidR="006C79A8" w:rsidRPr="006C79A8">
        <w:rPr>
          <w:rFonts w:ascii="Verdana" w:hAnsi="Verdana"/>
        </w:rPr>
        <w:t xml:space="preserve"> of tenancy </w:t>
      </w:r>
      <w:r w:rsidR="00606251">
        <w:rPr>
          <w:rFonts w:ascii="Verdana" w:hAnsi="Verdana"/>
        </w:rPr>
        <w:t>that they would</w:t>
      </w:r>
      <w:r w:rsidR="006C79A8" w:rsidRPr="006C79A8">
        <w:rPr>
          <w:rFonts w:ascii="Verdana" w:hAnsi="Verdana"/>
        </w:rPr>
        <w:t xml:space="preserve"> consider. </w:t>
      </w:r>
      <w:r w:rsidR="000334DE" w:rsidRPr="006C79A8">
        <w:rPr>
          <w:rFonts w:ascii="Verdana" w:hAnsi="Verdana"/>
        </w:rPr>
        <w:t xml:space="preserve"> </w:t>
      </w:r>
    </w:p>
    <w:p w14:paraId="7B9351DC" w14:textId="77777777" w:rsidR="00280DA1" w:rsidRPr="006C79A8" w:rsidRDefault="00280DA1" w:rsidP="00883932">
      <w:pPr>
        <w:rPr>
          <w:rFonts w:ascii="Verdana" w:hAnsi="Verdana"/>
        </w:rPr>
      </w:pPr>
    </w:p>
    <w:p w14:paraId="5DB87036" w14:textId="7298A252" w:rsidR="000334DE" w:rsidRPr="006C79A8" w:rsidRDefault="00280DA1" w:rsidP="00883932">
      <w:pPr>
        <w:rPr>
          <w:rFonts w:ascii="Verdana" w:hAnsi="Verdana"/>
        </w:rPr>
      </w:pPr>
      <w:r w:rsidRPr="006C79A8">
        <w:rPr>
          <w:rFonts w:ascii="Verdana" w:hAnsi="Verdana"/>
        </w:rPr>
        <w:t>T</w:t>
      </w:r>
      <w:r w:rsidR="00883932" w:rsidRPr="006C79A8">
        <w:rPr>
          <w:rFonts w:ascii="Verdana" w:hAnsi="Verdana"/>
        </w:rPr>
        <w:t xml:space="preserve">here is a general presumption that highest priority </w:t>
      </w:r>
      <w:r w:rsidR="00606251">
        <w:rPr>
          <w:rFonts w:ascii="Verdana" w:hAnsi="Verdana"/>
        </w:rPr>
        <w:t>is</w:t>
      </w:r>
      <w:r w:rsidR="00883932" w:rsidRPr="006C79A8">
        <w:rPr>
          <w:rFonts w:ascii="Verdana" w:hAnsi="Verdana"/>
        </w:rPr>
        <w:t xml:space="preserve"> g</w:t>
      </w:r>
      <w:r w:rsidR="00606251">
        <w:rPr>
          <w:rFonts w:ascii="Verdana" w:hAnsi="Verdana"/>
        </w:rPr>
        <w:t>iven</w:t>
      </w:r>
      <w:r w:rsidR="00883932" w:rsidRPr="006C79A8">
        <w:rPr>
          <w:rFonts w:ascii="Verdana" w:hAnsi="Verdana"/>
        </w:rPr>
        <w:t xml:space="preserve"> to those in the greatest housing need and those with no housing need have no priority. </w:t>
      </w:r>
      <w:r w:rsidR="00C55F24">
        <w:rPr>
          <w:rFonts w:ascii="Verdana" w:hAnsi="Verdana"/>
        </w:rPr>
        <w:t xml:space="preserve"> </w:t>
      </w:r>
      <w:r w:rsidR="000334DE" w:rsidRPr="006C79A8">
        <w:rPr>
          <w:rFonts w:ascii="Verdana" w:hAnsi="Verdana"/>
        </w:rPr>
        <w:t xml:space="preserve">Some limited discretion may be applied </w:t>
      </w:r>
      <w:r w:rsidR="00C55F24" w:rsidRPr="006C79A8">
        <w:rPr>
          <w:rFonts w:ascii="Verdana" w:hAnsi="Verdana"/>
        </w:rPr>
        <w:t>to</w:t>
      </w:r>
      <w:r w:rsidR="000334DE" w:rsidRPr="006C79A8">
        <w:rPr>
          <w:rFonts w:ascii="Verdana" w:hAnsi="Verdana"/>
        </w:rPr>
        <w:t xml:space="preserve"> create sustainable communities</w:t>
      </w:r>
      <w:r w:rsidR="008225D1">
        <w:rPr>
          <w:rFonts w:ascii="Verdana" w:hAnsi="Verdana"/>
        </w:rPr>
        <w:t xml:space="preserve">, </w:t>
      </w:r>
      <w:r w:rsidR="008225D1" w:rsidRPr="00C804CF">
        <w:rPr>
          <w:rFonts w:ascii="Verdana" w:hAnsi="Verdana"/>
          <w:color w:val="auto"/>
        </w:rPr>
        <w:t>which may be reflected for example in a Local Lettings Plan</w:t>
      </w:r>
      <w:r w:rsidR="000334DE" w:rsidRPr="006C79A8">
        <w:rPr>
          <w:rFonts w:ascii="Verdana" w:hAnsi="Verdana"/>
        </w:rPr>
        <w:t xml:space="preserve">. </w:t>
      </w:r>
    </w:p>
    <w:p w14:paraId="07B5BB3C" w14:textId="77777777" w:rsidR="000334DE" w:rsidRPr="006C79A8" w:rsidRDefault="000334DE" w:rsidP="00883932">
      <w:pPr>
        <w:rPr>
          <w:rFonts w:ascii="Verdana" w:hAnsi="Verdana"/>
        </w:rPr>
      </w:pPr>
    </w:p>
    <w:p w14:paraId="61DCAAB0" w14:textId="5BC6B973" w:rsidR="00396789" w:rsidRDefault="000334DE" w:rsidP="00883932">
      <w:pPr>
        <w:rPr>
          <w:rFonts w:ascii="Verdana" w:hAnsi="Verdana"/>
        </w:rPr>
      </w:pPr>
      <w:r w:rsidRPr="006C79A8">
        <w:rPr>
          <w:rFonts w:ascii="Verdana" w:hAnsi="Verdana"/>
        </w:rPr>
        <w:t xml:space="preserve">While it is important to treat every case on its merits, it is true to say that those in greater housing need, and therefore most likely to qualify for an offer of </w:t>
      </w:r>
      <w:r w:rsidR="00032F41">
        <w:rPr>
          <w:rFonts w:ascii="Verdana" w:hAnsi="Verdana"/>
        </w:rPr>
        <w:t>S</w:t>
      </w:r>
      <w:r w:rsidRPr="006C79A8">
        <w:rPr>
          <w:rFonts w:ascii="Verdana" w:hAnsi="Verdana"/>
        </w:rPr>
        <w:t xml:space="preserve">ocial </w:t>
      </w:r>
      <w:r w:rsidR="00032F41">
        <w:rPr>
          <w:rFonts w:ascii="Verdana" w:hAnsi="Verdana"/>
        </w:rPr>
        <w:t>H</w:t>
      </w:r>
      <w:r w:rsidRPr="006C79A8">
        <w:rPr>
          <w:rFonts w:ascii="Verdana" w:hAnsi="Verdana"/>
        </w:rPr>
        <w:t xml:space="preserve">ousing, </w:t>
      </w:r>
      <w:r w:rsidR="00C804CF">
        <w:rPr>
          <w:rFonts w:ascii="Verdana" w:hAnsi="Verdana"/>
        </w:rPr>
        <w:t>could be</w:t>
      </w:r>
      <w:r w:rsidRPr="006C79A8">
        <w:rPr>
          <w:rFonts w:ascii="Verdana" w:hAnsi="Verdana"/>
        </w:rPr>
        <w:t xml:space="preserve"> vulnerable and therefore more likely to require </w:t>
      </w:r>
      <w:r w:rsidR="00032F41">
        <w:rPr>
          <w:rFonts w:ascii="Verdana" w:hAnsi="Verdana"/>
        </w:rPr>
        <w:t>S</w:t>
      </w:r>
      <w:r w:rsidRPr="006C79A8">
        <w:rPr>
          <w:rFonts w:ascii="Verdana" w:hAnsi="Verdana"/>
        </w:rPr>
        <w:t xml:space="preserve">ocial </w:t>
      </w:r>
      <w:r w:rsidR="00032F41">
        <w:rPr>
          <w:rFonts w:ascii="Verdana" w:hAnsi="Verdana"/>
        </w:rPr>
        <w:t>H</w:t>
      </w:r>
      <w:r w:rsidRPr="006C79A8">
        <w:rPr>
          <w:rFonts w:ascii="Verdana" w:hAnsi="Verdana"/>
        </w:rPr>
        <w:t>ousing for the long-term.</w:t>
      </w:r>
    </w:p>
    <w:p w14:paraId="698CFD1F" w14:textId="77777777" w:rsidR="00396789" w:rsidRDefault="00396789" w:rsidP="00883932">
      <w:pPr>
        <w:rPr>
          <w:rFonts w:ascii="Verdana" w:hAnsi="Verdana"/>
        </w:rPr>
      </w:pPr>
    </w:p>
    <w:p w14:paraId="60D790A3" w14:textId="678E38E1" w:rsidR="00280DA1" w:rsidRDefault="00B0362D" w:rsidP="00E40DCC">
      <w:pPr>
        <w:rPr>
          <w:rFonts w:ascii="Verdana" w:hAnsi="Verdana"/>
        </w:rPr>
      </w:pPr>
      <w:r>
        <w:rPr>
          <w:rFonts w:ascii="Verdana" w:hAnsi="Verdana"/>
          <w:b/>
          <w:bCs/>
        </w:rPr>
        <w:t>4.2</w:t>
      </w:r>
      <w:r>
        <w:rPr>
          <w:rFonts w:ascii="Verdana" w:hAnsi="Verdana"/>
          <w:b/>
          <w:bCs/>
        </w:rPr>
        <w:tab/>
      </w:r>
      <w:r w:rsidR="00280DA1">
        <w:rPr>
          <w:rFonts w:ascii="Verdana" w:hAnsi="Verdana"/>
          <w:b/>
          <w:bCs/>
        </w:rPr>
        <w:t>H</w:t>
      </w:r>
      <w:r w:rsidR="00280DA1" w:rsidRPr="00215EFF">
        <w:rPr>
          <w:rFonts w:ascii="Verdana" w:hAnsi="Verdana"/>
          <w:b/>
          <w:bCs/>
        </w:rPr>
        <w:t xml:space="preserve">omelessness </w:t>
      </w:r>
      <w:r w:rsidR="00280DA1">
        <w:rPr>
          <w:rFonts w:ascii="Verdana" w:hAnsi="Verdana"/>
          <w:b/>
          <w:bCs/>
        </w:rPr>
        <w:t>and Rough Sleeping Strategies</w:t>
      </w:r>
      <w:r w:rsidR="00280DA1">
        <w:rPr>
          <w:rFonts w:ascii="Verdana" w:hAnsi="Verdana"/>
        </w:rPr>
        <w:t xml:space="preserve"> </w:t>
      </w:r>
    </w:p>
    <w:p w14:paraId="3C32A9C5" w14:textId="77777777" w:rsidR="007436C3" w:rsidRDefault="007436C3" w:rsidP="00E40DCC">
      <w:pPr>
        <w:rPr>
          <w:rFonts w:ascii="Verdana" w:hAnsi="Verdana"/>
        </w:rPr>
      </w:pPr>
    </w:p>
    <w:p w14:paraId="48D49927" w14:textId="77777777" w:rsidR="00280DA1" w:rsidRDefault="00280DA1" w:rsidP="00E40DCC">
      <w:pPr>
        <w:rPr>
          <w:rFonts w:ascii="Verdana" w:hAnsi="Verdana"/>
        </w:rPr>
      </w:pPr>
      <w:r w:rsidRPr="00280DA1">
        <w:rPr>
          <w:rFonts w:ascii="Verdana" w:hAnsi="Verdana"/>
        </w:rPr>
        <w:t>Each of the Councils has its own Homelessness &amp; Rough Sleeping Strategy</w:t>
      </w:r>
      <w:r>
        <w:rPr>
          <w:rFonts w:ascii="Verdana" w:hAnsi="Verdana"/>
        </w:rPr>
        <w:t>, but again there are some common principles that apply across the Designated Area that are relevant to this Tenancy Strategy</w:t>
      </w:r>
      <w:r w:rsidRPr="00280DA1">
        <w:rPr>
          <w:rFonts w:ascii="Verdana" w:hAnsi="Verdana"/>
        </w:rPr>
        <w:t>.</w:t>
      </w:r>
      <w:r w:rsidR="00312E97">
        <w:rPr>
          <w:rFonts w:ascii="Verdana" w:hAnsi="Verdana"/>
        </w:rPr>
        <w:t xml:space="preserve"> </w:t>
      </w:r>
      <w:r w:rsidR="00312E97" w:rsidRPr="00C804CF">
        <w:rPr>
          <w:rFonts w:ascii="Verdana" w:hAnsi="Verdana"/>
          <w:color w:val="auto"/>
        </w:rPr>
        <w:t xml:space="preserve">This </w:t>
      </w:r>
      <w:r w:rsidR="0057288D" w:rsidRPr="00C804CF">
        <w:rPr>
          <w:rFonts w:ascii="Verdana" w:hAnsi="Verdana"/>
          <w:color w:val="auto"/>
        </w:rPr>
        <w:t xml:space="preserve">commonality </w:t>
      </w:r>
      <w:r w:rsidR="00312E97" w:rsidRPr="00C804CF">
        <w:rPr>
          <w:rFonts w:ascii="Verdana" w:hAnsi="Verdana"/>
          <w:color w:val="auto"/>
        </w:rPr>
        <w:t>is demonstrated by the fact that in 2021 the Councils, along with Stratford-on-Avon District Council and Warwickshire County Council, came together</w:t>
      </w:r>
      <w:r w:rsidR="0057288D" w:rsidRPr="00C804CF">
        <w:rPr>
          <w:rFonts w:ascii="Verdana" w:hAnsi="Verdana"/>
          <w:color w:val="auto"/>
        </w:rPr>
        <w:t xml:space="preserve"> to tackle five cross-cutting themes connected with homelessness through a joint strategy covering the whole of Warwickshire: “Preventing homelessness in Warwickshire: a multi-agency approach”.</w:t>
      </w:r>
    </w:p>
    <w:p w14:paraId="1F044224" w14:textId="77777777" w:rsidR="00280DA1" w:rsidRDefault="00280DA1" w:rsidP="00E40DCC">
      <w:pPr>
        <w:rPr>
          <w:rFonts w:ascii="Verdana" w:hAnsi="Verdana"/>
        </w:rPr>
      </w:pPr>
    </w:p>
    <w:p w14:paraId="016A11CF" w14:textId="77777777" w:rsidR="00280DA1" w:rsidRDefault="00606251" w:rsidP="00E40DCC">
      <w:pPr>
        <w:rPr>
          <w:rFonts w:ascii="Verdana" w:hAnsi="Verdana"/>
        </w:rPr>
      </w:pPr>
      <w:r>
        <w:rPr>
          <w:rFonts w:ascii="Verdana" w:hAnsi="Verdana"/>
        </w:rPr>
        <w:t xml:space="preserve">The prevention of homelessness has become a key policy objective of central government in recent years, most notably demonstrated by the government supporting the Private Members’ Bill that became the Homelessness Reduction Act 2017. </w:t>
      </w:r>
      <w:r w:rsidR="00280DA1">
        <w:rPr>
          <w:rFonts w:ascii="Verdana" w:hAnsi="Verdana"/>
        </w:rPr>
        <w:t xml:space="preserve">The Councils are committed to </w:t>
      </w:r>
      <w:r>
        <w:rPr>
          <w:rFonts w:ascii="Verdana" w:hAnsi="Verdana"/>
        </w:rPr>
        <w:t>this</w:t>
      </w:r>
      <w:r w:rsidR="00280DA1">
        <w:rPr>
          <w:rFonts w:ascii="Verdana" w:hAnsi="Verdana"/>
        </w:rPr>
        <w:t xml:space="preserve"> “prevention first” approach to homelessness</w:t>
      </w:r>
      <w:r w:rsidR="00776C05">
        <w:rPr>
          <w:rFonts w:ascii="Verdana" w:hAnsi="Verdana"/>
        </w:rPr>
        <w:t>. This approach</w:t>
      </w:r>
      <w:r w:rsidR="00280DA1">
        <w:rPr>
          <w:rFonts w:ascii="Verdana" w:hAnsi="Verdana"/>
        </w:rPr>
        <w:t xml:space="preserve"> seeks to help people to remain in their existing home wherever possible </w:t>
      </w:r>
      <w:proofErr w:type="gramStart"/>
      <w:r w:rsidR="00280DA1">
        <w:rPr>
          <w:rFonts w:ascii="Verdana" w:hAnsi="Verdana"/>
        </w:rPr>
        <w:t>provided that</w:t>
      </w:r>
      <w:proofErr w:type="gramEnd"/>
      <w:r w:rsidR="00280DA1">
        <w:rPr>
          <w:rFonts w:ascii="Verdana" w:hAnsi="Verdana"/>
        </w:rPr>
        <w:t xml:space="preserve"> it is suitable for their needs and </w:t>
      </w:r>
      <w:r w:rsidR="000A64F5">
        <w:rPr>
          <w:rFonts w:ascii="Verdana" w:hAnsi="Verdana"/>
        </w:rPr>
        <w:t xml:space="preserve">that </w:t>
      </w:r>
      <w:r w:rsidR="00280DA1">
        <w:rPr>
          <w:rFonts w:ascii="Verdana" w:hAnsi="Verdana"/>
        </w:rPr>
        <w:t>they wish to stay there.</w:t>
      </w:r>
    </w:p>
    <w:p w14:paraId="5D39E48D" w14:textId="77777777" w:rsidR="00280DA1" w:rsidRDefault="00280DA1" w:rsidP="00E40DCC">
      <w:pPr>
        <w:rPr>
          <w:rFonts w:ascii="Verdana" w:hAnsi="Verdana"/>
        </w:rPr>
      </w:pPr>
    </w:p>
    <w:p w14:paraId="1101D177" w14:textId="77777777" w:rsidR="00280DA1" w:rsidRDefault="00280DA1" w:rsidP="00E40DCC">
      <w:pPr>
        <w:rPr>
          <w:rFonts w:ascii="Verdana" w:hAnsi="Verdana"/>
        </w:rPr>
      </w:pPr>
      <w:r>
        <w:rPr>
          <w:rFonts w:ascii="Verdana" w:hAnsi="Verdana"/>
        </w:rPr>
        <w:t xml:space="preserve">Where people do become homeless the Councils aim to help them to </w:t>
      </w:r>
      <w:r w:rsidR="0057288D" w:rsidRPr="00C804CF">
        <w:rPr>
          <w:rFonts w:ascii="Verdana" w:hAnsi="Verdana"/>
          <w:color w:val="auto"/>
        </w:rPr>
        <w:t xml:space="preserve">relieve their homelessness and </w:t>
      </w:r>
      <w:r>
        <w:rPr>
          <w:rFonts w:ascii="Verdana" w:hAnsi="Verdana"/>
        </w:rPr>
        <w:t>return to settled accommodation as quickly as can practically be achieved within the constraints imposed by housing supply and the homelessness legislation.</w:t>
      </w:r>
    </w:p>
    <w:p w14:paraId="0DCD71D0" w14:textId="77777777" w:rsidR="00280DA1" w:rsidRDefault="00280DA1" w:rsidP="00E40DCC">
      <w:pPr>
        <w:rPr>
          <w:rFonts w:ascii="Verdana" w:hAnsi="Verdana"/>
        </w:rPr>
      </w:pPr>
    </w:p>
    <w:p w14:paraId="1D93F927" w14:textId="75101886" w:rsidR="00280DA1" w:rsidRDefault="00280DA1" w:rsidP="00E40DCC">
      <w:pPr>
        <w:rPr>
          <w:rFonts w:ascii="Verdana" w:hAnsi="Verdana"/>
        </w:rPr>
      </w:pPr>
      <w:r>
        <w:rPr>
          <w:rFonts w:ascii="Verdana" w:hAnsi="Verdana"/>
        </w:rPr>
        <w:t>For those who are rough sleeping</w:t>
      </w:r>
      <w:r w:rsidR="0003561E">
        <w:rPr>
          <w:rFonts w:ascii="Verdana" w:hAnsi="Verdana"/>
        </w:rPr>
        <w:t>,</w:t>
      </w:r>
      <w:r>
        <w:rPr>
          <w:rFonts w:ascii="Verdana" w:hAnsi="Verdana"/>
        </w:rPr>
        <w:t xml:space="preserve"> the Councils aim to help them to come in from the streets and to rebuild their lives with the assistance of intensive but appropriate support</w:t>
      </w:r>
      <w:r w:rsidRPr="00280DA1">
        <w:rPr>
          <w:rFonts w:ascii="Verdana" w:hAnsi="Verdana"/>
        </w:rPr>
        <w:t xml:space="preserve"> </w:t>
      </w:r>
      <w:r>
        <w:rPr>
          <w:rFonts w:ascii="Verdana" w:hAnsi="Verdana"/>
        </w:rPr>
        <w:t>services.</w:t>
      </w:r>
    </w:p>
    <w:p w14:paraId="50CA16AC" w14:textId="77777777" w:rsidR="00280DA1" w:rsidRDefault="00280DA1" w:rsidP="00E40DCC">
      <w:pPr>
        <w:rPr>
          <w:rFonts w:ascii="Verdana" w:hAnsi="Verdana"/>
        </w:rPr>
      </w:pPr>
    </w:p>
    <w:p w14:paraId="73D4A597" w14:textId="376DE9DA" w:rsidR="00280DA1" w:rsidRDefault="00C55F24" w:rsidP="00E40DCC">
      <w:pPr>
        <w:rPr>
          <w:rFonts w:ascii="Verdana" w:hAnsi="Verdana"/>
        </w:rPr>
      </w:pPr>
      <w:r w:rsidRPr="00C804CF">
        <w:rPr>
          <w:rFonts w:ascii="Verdana" w:hAnsi="Verdana"/>
        </w:rPr>
        <w:t>To</w:t>
      </w:r>
      <w:r w:rsidR="00C804CF" w:rsidRPr="00C804CF">
        <w:rPr>
          <w:rFonts w:ascii="Verdana" w:hAnsi="Verdana"/>
        </w:rPr>
        <w:t xml:space="preserve"> provide a positive environment and to enable recovery for those who have been through the traumas of homelessness and rough sleeping the provision of the greatest security of tenure available would assist with sustainability.</w:t>
      </w:r>
    </w:p>
    <w:p w14:paraId="3FE17B48" w14:textId="77777777" w:rsidR="00C6570E" w:rsidRDefault="00C6570E" w:rsidP="00E40DCC">
      <w:pPr>
        <w:rPr>
          <w:rFonts w:ascii="Verdana" w:hAnsi="Verdana"/>
        </w:rPr>
      </w:pPr>
    </w:p>
    <w:p w14:paraId="48434283" w14:textId="19F0E84D" w:rsidR="00C6570E" w:rsidRDefault="00B0362D" w:rsidP="00C6570E">
      <w:pPr>
        <w:rPr>
          <w:rFonts w:ascii="Verdana" w:hAnsi="Verdana"/>
          <w:b/>
          <w:bCs/>
          <w:color w:val="auto"/>
        </w:rPr>
      </w:pPr>
      <w:r>
        <w:rPr>
          <w:rFonts w:ascii="Verdana" w:hAnsi="Verdana"/>
          <w:b/>
          <w:bCs/>
          <w:color w:val="auto"/>
        </w:rPr>
        <w:t>4.3</w:t>
      </w:r>
      <w:r>
        <w:rPr>
          <w:rFonts w:ascii="Verdana" w:hAnsi="Verdana"/>
          <w:b/>
          <w:bCs/>
          <w:color w:val="auto"/>
        </w:rPr>
        <w:tab/>
      </w:r>
      <w:r w:rsidR="00C6570E" w:rsidRPr="00260DE5">
        <w:rPr>
          <w:rFonts w:ascii="Verdana" w:hAnsi="Verdana"/>
          <w:b/>
          <w:bCs/>
          <w:color w:val="auto"/>
        </w:rPr>
        <w:t>Equality and diversity</w:t>
      </w:r>
    </w:p>
    <w:p w14:paraId="025DBB88" w14:textId="77777777" w:rsidR="007436C3" w:rsidRPr="00260DE5" w:rsidRDefault="007436C3" w:rsidP="00C6570E">
      <w:pPr>
        <w:rPr>
          <w:rFonts w:ascii="Verdana" w:hAnsi="Verdana"/>
          <w:b/>
          <w:bCs/>
          <w:color w:val="auto"/>
        </w:rPr>
      </w:pPr>
    </w:p>
    <w:p w14:paraId="575B6EC2" w14:textId="1C19A40D" w:rsidR="00C6570E" w:rsidRPr="00C6570E" w:rsidRDefault="00C6570E" w:rsidP="00C6570E">
      <w:pPr>
        <w:rPr>
          <w:rFonts w:ascii="Verdana" w:hAnsi="Verdana"/>
          <w:color w:val="FF0000"/>
        </w:rPr>
      </w:pPr>
      <w:r w:rsidRPr="00260DE5">
        <w:rPr>
          <w:rFonts w:ascii="Verdana" w:hAnsi="Verdana"/>
          <w:bCs/>
          <w:color w:val="auto"/>
        </w:rPr>
        <w:t>In developing their tenancy policies, Social Landlords are expected to have full regard to their statutory and regulatory obligations to facilitate, encourage and promote equality and diversity in the communities in which they operate in the Designated Area.</w:t>
      </w:r>
      <w:r w:rsidRPr="00260DE5">
        <w:rPr>
          <w:rFonts w:ascii="Verdana" w:hAnsi="Verdana"/>
          <w:color w:val="auto"/>
        </w:rPr>
        <w:t xml:space="preserve"> </w:t>
      </w:r>
    </w:p>
    <w:p w14:paraId="5EED25F8" w14:textId="7532D885" w:rsidR="00240659" w:rsidRDefault="00240659">
      <w:pPr>
        <w:rPr>
          <w:rFonts w:ascii="Verdana" w:hAnsi="Verdana"/>
          <w:b/>
          <w:sz w:val="28"/>
          <w:szCs w:val="28"/>
        </w:rPr>
      </w:pPr>
    </w:p>
    <w:p w14:paraId="4AD694B4" w14:textId="5CBBE635" w:rsidR="00482290" w:rsidRDefault="00B0362D" w:rsidP="00482290">
      <w:pPr>
        <w:rPr>
          <w:rFonts w:ascii="Verdana" w:hAnsi="Verdana"/>
          <w:b/>
          <w:sz w:val="28"/>
          <w:szCs w:val="28"/>
        </w:rPr>
      </w:pPr>
      <w:r>
        <w:rPr>
          <w:rFonts w:ascii="Verdana" w:hAnsi="Verdana"/>
          <w:b/>
          <w:sz w:val="28"/>
          <w:szCs w:val="28"/>
        </w:rPr>
        <w:lastRenderedPageBreak/>
        <w:t>5</w:t>
      </w:r>
      <w:r w:rsidR="00482290" w:rsidRPr="005522F4">
        <w:rPr>
          <w:rFonts w:ascii="Verdana" w:hAnsi="Verdana"/>
          <w:b/>
          <w:sz w:val="28"/>
          <w:szCs w:val="28"/>
        </w:rPr>
        <w:tab/>
      </w:r>
      <w:r w:rsidR="000716DC">
        <w:rPr>
          <w:rFonts w:ascii="Verdana" w:hAnsi="Verdana"/>
          <w:b/>
          <w:sz w:val="28"/>
          <w:szCs w:val="28"/>
        </w:rPr>
        <w:t>Administration of tenancies</w:t>
      </w:r>
    </w:p>
    <w:p w14:paraId="25138FAA" w14:textId="77777777" w:rsidR="00264179" w:rsidRDefault="00264179" w:rsidP="0093783B">
      <w:pPr>
        <w:rPr>
          <w:rFonts w:ascii="Verdana" w:hAnsi="Verdana"/>
        </w:rPr>
      </w:pPr>
    </w:p>
    <w:p w14:paraId="7A7B312A" w14:textId="138632D0" w:rsidR="00264179" w:rsidRDefault="00760F41" w:rsidP="0093783B">
      <w:pPr>
        <w:rPr>
          <w:rFonts w:ascii="Verdana" w:hAnsi="Verdana"/>
        </w:rPr>
      </w:pPr>
      <w:r>
        <w:rPr>
          <w:rFonts w:ascii="Verdana" w:hAnsi="Verdana"/>
        </w:rPr>
        <w:t>T</w:t>
      </w:r>
      <w:r w:rsidR="00264179">
        <w:rPr>
          <w:rFonts w:ascii="Verdana" w:hAnsi="Verdana"/>
        </w:rPr>
        <w:t xml:space="preserve">he following </w:t>
      </w:r>
      <w:r>
        <w:rPr>
          <w:rFonts w:ascii="Verdana" w:hAnsi="Verdana"/>
        </w:rPr>
        <w:t xml:space="preserve">are the principal </w:t>
      </w:r>
      <w:r w:rsidR="00264179">
        <w:rPr>
          <w:rFonts w:ascii="Verdana" w:hAnsi="Verdana"/>
        </w:rPr>
        <w:t xml:space="preserve">tenancy types </w:t>
      </w:r>
      <w:r>
        <w:rPr>
          <w:rFonts w:ascii="Verdana" w:hAnsi="Verdana"/>
        </w:rPr>
        <w:t xml:space="preserve">in use in </w:t>
      </w:r>
      <w:r w:rsidR="00E05F73">
        <w:rPr>
          <w:rFonts w:ascii="Verdana" w:hAnsi="Verdana"/>
        </w:rPr>
        <w:t>S</w:t>
      </w:r>
      <w:r>
        <w:rPr>
          <w:rFonts w:ascii="Verdana" w:hAnsi="Verdana"/>
        </w:rPr>
        <w:t xml:space="preserve">ocial </w:t>
      </w:r>
      <w:r w:rsidR="00E05F73">
        <w:rPr>
          <w:rFonts w:ascii="Verdana" w:hAnsi="Verdana"/>
        </w:rPr>
        <w:t>H</w:t>
      </w:r>
      <w:r>
        <w:rPr>
          <w:rFonts w:ascii="Verdana" w:hAnsi="Verdana"/>
        </w:rPr>
        <w:t xml:space="preserve">ousing and </w:t>
      </w:r>
      <w:r w:rsidR="00965AFF">
        <w:rPr>
          <w:rFonts w:ascii="Verdana" w:hAnsi="Verdana"/>
        </w:rPr>
        <w:t xml:space="preserve">one or more of them </w:t>
      </w:r>
      <w:r w:rsidR="00264179">
        <w:rPr>
          <w:rFonts w:ascii="Verdana" w:hAnsi="Verdana"/>
        </w:rPr>
        <w:t xml:space="preserve">may be </w:t>
      </w:r>
      <w:r w:rsidR="000716DC">
        <w:rPr>
          <w:rFonts w:ascii="Verdana" w:hAnsi="Verdana"/>
        </w:rPr>
        <w:t>appropriate for use</w:t>
      </w:r>
      <w:r w:rsidR="00264179">
        <w:rPr>
          <w:rFonts w:ascii="Verdana" w:hAnsi="Verdana"/>
        </w:rPr>
        <w:t xml:space="preserve"> in the Designated Area</w:t>
      </w:r>
      <w:r w:rsidR="00965AFF">
        <w:rPr>
          <w:rFonts w:ascii="Verdana" w:hAnsi="Verdana"/>
        </w:rPr>
        <w:t>,</w:t>
      </w:r>
      <w:r w:rsidR="00264179">
        <w:rPr>
          <w:rFonts w:ascii="Verdana" w:hAnsi="Verdana"/>
        </w:rPr>
        <w:t xml:space="preserve"> in </w:t>
      </w:r>
      <w:r w:rsidR="000716DC">
        <w:rPr>
          <w:rFonts w:ascii="Verdana" w:hAnsi="Verdana"/>
        </w:rPr>
        <w:t>certain</w:t>
      </w:r>
      <w:r w:rsidR="00264179">
        <w:rPr>
          <w:rFonts w:ascii="Verdana" w:hAnsi="Verdana"/>
        </w:rPr>
        <w:t xml:space="preserve"> circumstances</w:t>
      </w:r>
      <w:r w:rsidR="000716DC">
        <w:rPr>
          <w:rFonts w:ascii="Verdana" w:hAnsi="Verdana"/>
        </w:rPr>
        <w:t>,</w:t>
      </w:r>
      <w:r w:rsidR="00264179">
        <w:rPr>
          <w:rFonts w:ascii="Verdana" w:hAnsi="Verdana"/>
        </w:rPr>
        <w:t xml:space="preserve"> subject to </w:t>
      </w:r>
      <w:r w:rsidR="00176B1C">
        <w:rPr>
          <w:rFonts w:ascii="Verdana" w:hAnsi="Verdana"/>
        </w:rPr>
        <w:t>the aims of th</w:t>
      </w:r>
      <w:r w:rsidR="00965AFF">
        <w:rPr>
          <w:rFonts w:ascii="Verdana" w:hAnsi="Verdana"/>
        </w:rPr>
        <w:t>is Tenancy S</w:t>
      </w:r>
      <w:r w:rsidR="00176B1C">
        <w:rPr>
          <w:rFonts w:ascii="Verdana" w:hAnsi="Verdana"/>
        </w:rPr>
        <w:t xml:space="preserve">trategy set out above and </w:t>
      </w:r>
      <w:r w:rsidR="00CD00DA">
        <w:rPr>
          <w:rFonts w:ascii="Verdana" w:hAnsi="Verdana"/>
        </w:rPr>
        <w:t xml:space="preserve">following </w:t>
      </w:r>
      <w:r w:rsidR="00264179">
        <w:rPr>
          <w:rFonts w:ascii="Verdana" w:hAnsi="Verdana"/>
        </w:rPr>
        <w:t xml:space="preserve">consideration of the matters set out in </w:t>
      </w:r>
      <w:r w:rsidR="0024648D">
        <w:rPr>
          <w:rFonts w:ascii="Verdana" w:hAnsi="Verdana"/>
        </w:rPr>
        <w:t xml:space="preserve">this </w:t>
      </w:r>
      <w:r w:rsidR="00264179">
        <w:rPr>
          <w:rFonts w:ascii="Verdana" w:hAnsi="Verdana"/>
        </w:rPr>
        <w:t>section</w:t>
      </w:r>
      <w:r w:rsidR="0024648D">
        <w:rPr>
          <w:rFonts w:ascii="Verdana" w:hAnsi="Verdana"/>
        </w:rPr>
        <w:t>:</w:t>
      </w:r>
    </w:p>
    <w:p w14:paraId="631A123D" w14:textId="77777777" w:rsidR="00897247" w:rsidRDefault="00897247" w:rsidP="0093783B">
      <w:pPr>
        <w:rPr>
          <w:rFonts w:ascii="Verdana" w:hAnsi="Verdana"/>
        </w:rPr>
      </w:pPr>
    </w:p>
    <w:p w14:paraId="7A3AA345" w14:textId="2DBD60C5" w:rsidR="00E35785" w:rsidRPr="00264179" w:rsidRDefault="00E35785" w:rsidP="00E35785">
      <w:pPr>
        <w:pStyle w:val="ListParagraph"/>
        <w:numPr>
          <w:ilvl w:val="0"/>
          <w:numId w:val="27"/>
        </w:numPr>
        <w:rPr>
          <w:rFonts w:ascii="Verdana" w:hAnsi="Verdana"/>
        </w:rPr>
      </w:pPr>
      <w:r w:rsidRPr="00264179">
        <w:rPr>
          <w:rFonts w:ascii="Verdana" w:hAnsi="Verdana"/>
        </w:rPr>
        <w:t xml:space="preserve">Secure Periodic Tenancies and Assured Periodic </w:t>
      </w:r>
      <w:r w:rsidR="00363FD0" w:rsidRPr="00264179">
        <w:rPr>
          <w:rFonts w:ascii="Verdana" w:hAnsi="Verdana"/>
        </w:rPr>
        <w:t>Tenancies</w:t>
      </w:r>
      <w:r w:rsidR="00363FD0">
        <w:rPr>
          <w:rFonts w:ascii="Verdana" w:hAnsi="Verdana"/>
        </w:rPr>
        <w:t>.</w:t>
      </w:r>
    </w:p>
    <w:p w14:paraId="36968A99" w14:textId="1F69ADE5" w:rsidR="00947FEF" w:rsidRPr="00264179" w:rsidRDefault="00947FEF" w:rsidP="000716DC">
      <w:pPr>
        <w:pStyle w:val="ListParagraph"/>
        <w:numPr>
          <w:ilvl w:val="0"/>
          <w:numId w:val="27"/>
        </w:numPr>
        <w:rPr>
          <w:rFonts w:ascii="Verdana" w:hAnsi="Verdana"/>
        </w:rPr>
      </w:pPr>
      <w:r w:rsidRPr="00264179">
        <w:rPr>
          <w:rFonts w:ascii="Verdana" w:hAnsi="Verdana"/>
        </w:rPr>
        <w:t xml:space="preserve">Introductory Tenancies and Starter </w:t>
      </w:r>
      <w:r w:rsidR="00363FD0" w:rsidRPr="00264179">
        <w:rPr>
          <w:rFonts w:ascii="Verdana" w:hAnsi="Verdana"/>
        </w:rPr>
        <w:t>Tenancies</w:t>
      </w:r>
      <w:r w:rsidR="00363FD0">
        <w:rPr>
          <w:rFonts w:ascii="Verdana" w:hAnsi="Verdana"/>
        </w:rPr>
        <w:t>.</w:t>
      </w:r>
    </w:p>
    <w:p w14:paraId="484FE53A" w14:textId="3C27E562" w:rsidR="00897247" w:rsidRDefault="00897247" w:rsidP="00897247">
      <w:pPr>
        <w:pStyle w:val="ListParagraph"/>
        <w:numPr>
          <w:ilvl w:val="0"/>
          <w:numId w:val="27"/>
        </w:numPr>
        <w:rPr>
          <w:rFonts w:ascii="Verdana" w:hAnsi="Verdana"/>
        </w:rPr>
      </w:pPr>
      <w:r w:rsidRPr="00897247">
        <w:rPr>
          <w:rFonts w:ascii="Verdana" w:hAnsi="Verdana"/>
        </w:rPr>
        <w:t xml:space="preserve">Demoted </w:t>
      </w:r>
      <w:r w:rsidR="00363FD0" w:rsidRPr="00897247">
        <w:rPr>
          <w:rFonts w:ascii="Verdana" w:hAnsi="Verdana"/>
        </w:rPr>
        <w:t>Tenancies.</w:t>
      </w:r>
      <w:r w:rsidRPr="00897247">
        <w:rPr>
          <w:rFonts w:ascii="Verdana" w:hAnsi="Verdana"/>
        </w:rPr>
        <w:t xml:space="preserve"> </w:t>
      </w:r>
    </w:p>
    <w:p w14:paraId="3C19AD26" w14:textId="26D487B3" w:rsidR="00897247" w:rsidRPr="00897247" w:rsidRDefault="00897247" w:rsidP="00897247">
      <w:pPr>
        <w:pStyle w:val="ListParagraph"/>
        <w:numPr>
          <w:ilvl w:val="0"/>
          <w:numId w:val="27"/>
        </w:numPr>
        <w:rPr>
          <w:rFonts w:ascii="Verdana" w:hAnsi="Verdana"/>
        </w:rPr>
      </w:pPr>
      <w:r w:rsidRPr="00897247">
        <w:rPr>
          <w:rFonts w:ascii="Verdana" w:hAnsi="Verdana"/>
        </w:rPr>
        <w:t xml:space="preserve">Family Intervention </w:t>
      </w:r>
      <w:r w:rsidR="00363FD0" w:rsidRPr="00897247">
        <w:rPr>
          <w:rFonts w:ascii="Verdana" w:hAnsi="Verdana"/>
        </w:rPr>
        <w:t>Tenancies</w:t>
      </w:r>
      <w:r w:rsidR="00363FD0">
        <w:rPr>
          <w:rFonts w:ascii="Verdana" w:hAnsi="Verdana"/>
        </w:rPr>
        <w:t>.</w:t>
      </w:r>
      <w:r w:rsidRPr="00897247">
        <w:rPr>
          <w:rFonts w:ascii="Verdana" w:hAnsi="Verdana"/>
        </w:rPr>
        <w:t xml:space="preserve"> </w:t>
      </w:r>
    </w:p>
    <w:p w14:paraId="401464CB" w14:textId="78741AAC" w:rsidR="00555C9E" w:rsidRDefault="00947FEF" w:rsidP="000716DC">
      <w:pPr>
        <w:pStyle w:val="ListParagraph"/>
        <w:numPr>
          <w:ilvl w:val="0"/>
          <w:numId w:val="27"/>
        </w:numPr>
        <w:rPr>
          <w:rFonts w:ascii="Verdana" w:hAnsi="Verdana"/>
        </w:rPr>
      </w:pPr>
      <w:r w:rsidRPr="00264179">
        <w:rPr>
          <w:rFonts w:ascii="Verdana" w:hAnsi="Verdana"/>
        </w:rPr>
        <w:t xml:space="preserve">Flexible Tenancies and Fixed-Term Assured Shorthold </w:t>
      </w:r>
      <w:r w:rsidR="00363FD0" w:rsidRPr="00264179">
        <w:rPr>
          <w:rFonts w:ascii="Verdana" w:hAnsi="Verdana"/>
        </w:rPr>
        <w:t>Tenancies</w:t>
      </w:r>
      <w:r w:rsidR="00363FD0">
        <w:rPr>
          <w:rFonts w:ascii="Verdana" w:hAnsi="Verdana"/>
        </w:rPr>
        <w:t>.</w:t>
      </w:r>
    </w:p>
    <w:p w14:paraId="696B9F5A" w14:textId="77777777" w:rsidR="00947FEF" w:rsidRPr="00264179" w:rsidRDefault="00555C9E" w:rsidP="000716DC">
      <w:pPr>
        <w:pStyle w:val="ListParagraph"/>
        <w:numPr>
          <w:ilvl w:val="0"/>
          <w:numId w:val="27"/>
        </w:numPr>
        <w:rPr>
          <w:rFonts w:ascii="Verdana" w:hAnsi="Verdana"/>
        </w:rPr>
      </w:pPr>
      <w:r>
        <w:rPr>
          <w:rFonts w:ascii="Verdana" w:hAnsi="Verdana"/>
        </w:rPr>
        <w:t>Equitable Tenancies.</w:t>
      </w:r>
    </w:p>
    <w:p w14:paraId="60CD3734" w14:textId="77777777" w:rsidR="00264179" w:rsidRDefault="00264179" w:rsidP="0093783B">
      <w:pPr>
        <w:rPr>
          <w:rFonts w:ascii="Verdana" w:hAnsi="Verdana"/>
        </w:rPr>
      </w:pPr>
    </w:p>
    <w:p w14:paraId="3BCBBB3B" w14:textId="0E0B47CF" w:rsidR="008F48B1" w:rsidRDefault="008F48B1" w:rsidP="008F48B1">
      <w:pPr>
        <w:rPr>
          <w:rFonts w:ascii="Verdana" w:hAnsi="Verdana"/>
        </w:rPr>
      </w:pPr>
      <w:r w:rsidRPr="008F48B1">
        <w:rPr>
          <w:rFonts w:ascii="Verdana" w:hAnsi="Verdana"/>
        </w:rPr>
        <w:t xml:space="preserve">For convenience, for the remainder of this </w:t>
      </w:r>
      <w:r w:rsidR="00CD00DA">
        <w:rPr>
          <w:rFonts w:ascii="Verdana" w:hAnsi="Verdana"/>
        </w:rPr>
        <w:t>Tenancy S</w:t>
      </w:r>
      <w:r w:rsidRPr="008F48B1">
        <w:rPr>
          <w:rFonts w:ascii="Verdana" w:hAnsi="Verdana"/>
        </w:rPr>
        <w:t>trategy:</w:t>
      </w:r>
    </w:p>
    <w:p w14:paraId="70B55F16" w14:textId="77777777" w:rsidR="007436C3" w:rsidRPr="008F48B1" w:rsidRDefault="007436C3" w:rsidP="008F48B1">
      <w:pPr>
        <w:rPr>
          <w:rFonts w:ascii="Verdana" w:hAnsi="Verdana"/>
        </w:rPr>
      </w:pPr>
    </w:p>
    <w:p w14:paraId="11DA8B25" w14:textId="644F6845" w:rsidR="008F48B1" w:rsidRPr="008F48B1" w:rsidRDefault="008F48B1" w:rsidP="008F48B1">
      <w:pPr>
        <w:numPr>
          <w:ilvl w:val="0"/>
          <w:numId w:val="34"/>
        </w:numPr>
        <w:rPr>
          <w:rFonts w:ascii="Verdana" w:hAnsi="Verdana"/>
        </w:rPr>
      </w:pPr>
      <w:r w:rsidRPr="008F48B1">
        <w:rPr>
          <w:rFonts w:ascii="Verdana" w:hAnsi="Verdana"/>
        </w:rPr>
        <w:t xml:space="preserve">Secure Periodic Tenancies and Assured Periodic Tenancies are referred to collectively as Periodic </w:t>
      </w:r>
      <w:r w:rsidR="00363FD0" w:rsidRPr="008F48B1">
        <w:rPr>
          <w:rFonts w:ascii="Verdana" w:hAnsi="Verdana"/>
        </w:rPr>
        <w:t>Tenancies</w:t>
      </w:r>
      <w:r w:rsidR="00363FD0">
        <w:rPr>
          <w:rFonts w:ascii="Verdana" w:hAnsi="Verdana"/>
        </w:rPr>
        <w:t>.</w:t>
      </w:r>
    </w:p>
    <w:p w14:paraId="0818D393" w14:textId="77777777" w:rsidR="0063488B" w:rsidRPr="008F48B1" w:rsidRDefault="0063488B" w:rsidP="008F48B1">
      <w:pPr>
        <w:numPr>
          <w:ilvl w:val="0"/>
          <w:numId w:val="34"/>
        </w:numPr>
        <w:rPr>
          <w:rFonts w:ascii="Verdana" w:hAnsi="Verdana"/>
        </w:rPr>
      </w:pPr>
      <w:r w:rsidRPr="008F48B1">
        <w:rPr>
          <w:rFonts w:ascii="Verdana" w:hAnsi="Verdana"/>
        </w:rPr>
        <w:t>Flexible Tenancies and Fixed-Term Assured Shorthold Tenancies are referred to collectively as Fixed-Term Tenancies.</w:t>
      </w:r>
    </w:p>
    <w:p w14:paraId="3B796CAB" w14:textId="77777777" w:rsidR="008F48B1" w:rsidRDefault="008F48B1" w:rsidP="00760F41">
      <w:pPr>
        <w:rPr>
          <w:rFonts w:ascii="Verdana" w:hAnsi="Verdana"/>
        </w:rPr>
      </w:pPr>
    </w:p>
    <w:p w14:paraId="3C4AB3CA" w14:textId="5E59025E" w:rsidR="00760F41" w:rsidRDefault="00760F41" w:rsidP="00760F41">
      <w:pPr>
        <w:rPr>
          <w:rFonts w:ascii="Verdana" w:hAnsi="Verdana"/>
        </w:rPr>
      </w:pPr>
      <w:r>
        <w:rPr>
          <w:rFonts w:ascii="Verdana" w:hAnsi="Verdana"/>
        </w:rPr>
        <w:t xml:space="preserve">The Councils accept that </w:t>
      </w:r>
      <w:r w:rsidR="00771B1B">
        <w:rPr>
          <w:rFonts w:ascii="Verdana" w:hAnsi="Verdana"/>
        </w:rPr>
        <w:t>Registered Providers</w:t>
      </w:r>
      <w:r>
        <w:rPr>
          <w:rFonts w:ascii="Verdana" w:hAnsi="Verdana"/>
        </w:rPr>
        <w:t xml:space="preserve"> will occasionally use licence agreements rather than tenancies. Those would be expected to be in quite specific situations and </w:t>
      </w:r>
      <w:proofErr w:type="gramStart"/>
      <w:r>
        <w:rPr>
          <w:rFonts w:ascii="Verdana" w:hAnsi="Verdana"/>
        </w:rPr>
        <w:t>are considered to be</w:t>
      </w:r>
      <w:proofErr w:type="gramEnd"/>
      <w:r>
        <w:rPr>
          <w:rFonts w:ascii="Verdana" w:hAnsi="Verdana"/>
        </w:rPr>
        <w:t xml:space="preserve"> outside the scope of this strategy</w:t>
      </w:r>
      <w:r w:rsidR="00555C9E">
        <w:rPr>
          <w:rFonts w:ascii="Verdana" w:hAnsi="Verdana"/>
        </w:rPr>
        <w:t xml:space="preserve">, </w:t>
      </w:r>
      <w:r w:rsidR="00555C9E" w:rsidRPr="00C804CF">
        <w:rPr>
          <w:rFonts w:ascii="Verdana" w:hAnsi="Verdana"/>
          <w:color w:val="auto"/>
        </w:rPr>
        <w:t>as are agreements under the Mobile Homes Act 1983</w:t>
      </w:r>
      <w:r w:rsidR="00555C9E">
        <w:rPr>
          <w:rFonts w:ascii="Verdana" w:hAnsi="Verdana"/>
        </w:rPr>
        <w:t>.</w:t>
      </w:r>
    </w:p>
    <w:p w14:paraId="18E013CB" w14:textId="77777777" w:rsidR="00760F41" w:rsidRDefault="00760F41" w:rsidP="00760F41">
      <w:pPr>
        <w:rPr>
          <w:rFonts w:ascii="Verdana" w:hAnsi="Verdana"/>
        </w:rPr>
      </w:pPr>
    </w:p>
    <w:p w14:paraId="67640A31" w14:textId="2C93E2AF" w:rsidR="00B45273" w:rsidRDefault="00B0362D" w:rsidP="00B45273">
      <w:pPr>
        <w:rPr>
          <w:rFonts w:ascii="Verdana" w:hAnsi="Verdana"/>
          <w:b/>
        </w:rPr>
      </w:pPr>
      <w:r>
        <w:rPr>
          <w:rFonts w:ascii="Verdana" w:hAnsi="Verdana"/>
          <w:b/>
        </w:rPr>
        <w:t>5</w:t>
      </w:r>
      <w:r w:rsidR="00B45273" w:rsidRPr="00947FEF">
        <w:rPr>
          <w:rFonts w:ascii="Verdana" w:hAnsi="Verdana"/>
          <w:b/>
        </w:rPr>
        <w:t>.</w:t>
      </w:r>
      <w:r w:rsidR="00B45273">
        <w:rPr>
          <w:rFonts w:ascii="Verdana" w:hAnsi="Verdana"/>
          <w:b/>
        </w:rPr>
        <w:t>1</w:t>
      </w:r>
      <w:r w:rsidR="00B45273" w:rsidRPr="00947FEF">
        <w:rPr>
          <w:rFonts w:ascii="Verdana" w:hAnsi="Verdana"/>
          <w:b/>
        </w:rPr>
        <w:tab/>
      </w:r>
      <w:r w:rsidR="00B45273">
        <w:rPr>
          <w:rFonts w:ascii="Verdana" w:hAnsi="Verdana"/>
          <w:b/>
        </w:rPr>
        <w:t>Periodic Tenancies</w:t>
      </w:r>
    </w:p>
    <w:p w14:paraId="4D78D71B" w14:textId="77777777" w:rsidR="007436C3" w:rsidRPr="00947FEF" w:rsidRDefault="007436C3" w:rsidP="00B45273">
      <w:pPr>
        <w:rPr>
          <w:rFonts w:ascii="Verdana" w:hAnsi="Verdana"/>
          <w:b/>
        </w:rPr>
      </w:pPr>
    </w:p>
    <w:p w14:paraId="03E7E387" w14:textId="62FC0D52" w:rsidR="00B45273" w:rsidRPr="00E35785" w:rsidRDefault="00B45273" w:rsidP="00B45273">
      <w:pPr>
        <w:rPr>
          <w:rFonts w:ascii="Verdana" w:hAnsi="Verdana"/>
        </w:rPr>
      </w:pPr>
      <w:r w:rsidRPr="00E35785">
        <w:rPr>
          <w:rFonts w:ascii="Verdana" w:hAnsi="Verdana"/>
        </w:rPr>
        <w:t xml:space="preserve">Security of tenure was initiated in the sector by the Housing Act 1980 (later consolidated into the Housing Act 1985), at which time all Social Landlords were required to use Secure Periodic Tenancies. </w:t>
      </w:r>
      <w:r w:rsidR="006C6941">
        <w:rPr>
          <w:rFonts w:ascii="Verdana" w:hAnsi="Verdana"/>
        </w:rPr>
        <w:t>T</w:t>
      </w:r>
      <w:r w:rsidRPr="00E35785">
        <w:rPr>
          <w:rFonts w:ascii="Verdana" w:hAnsi="Verdana"/>
        </w:rPr>
        <w:t>he Housing Act 1988</w:t>
      </w:r>
      <w:r w:rsidR="006C6941">
        <w:rPr>
          <w:rFonts w:ascii="Verdana" w:hAnsi="Verdana"/>
        </w:rPr>
        <w:t xml:space="preserve"> </w:t>
      </w:r>
      <w:r w:rsidRPr="00E35785">
        <w:rPr>
          <w:rFonts w:ascii="Verdana" w:hAnsi="Verdana"/>
        </w:rPr>
        <w:t>required</w:t>
      </w:r>
      <w:r w:rsidR="006C6941">
        <w:rPr>
          <w:rFonts w:ascii="Verdana" w:hAnsi="Verdana"/>
        </w:rPr>
        <w:t xml:space="preserve"> Private Registered Landlords</w:t>
      </w:r>
      <w:r w:rsidRPr="00E35785">
        <w:rPr>
          <w:rFonts w:ascii="Verdana" w:hAnsi="Verdana"/>
        </w:rPr>
        <w:t xml:space="preserve"> to use Assured Periodic Tenancies. Both types of tenancy allow the tenant, subject to compliance with their tenancy conditions, to remain in their home for as long as they wish. </w:t>
      </w:r>
    </w:p>
    <w:p w14:paraId="721070D5" w14:textId="77777777" w:rsidR="00B45273" w:rsidRDefault="00B45273" w:rsidP="00B45273">
      <w:pPr>
        <w:rPr>
          <w:rFonts w:ascii="Verdana" w:hAnsi="Verdana"/>
        </w:rPr>
      </w:pPr>
    </w:p>
    <w:p w14:paraId="7BC57D75" w14:textId="3F0F06CC" w:rsidR="00B45273" w:rsidRDefault="00B45273" w:rsidP="00B45273">
      <w:pPr>
        <w:rPr>
          <w:rFonts w:ascii="Verdana" w:hAnsi="Verdana"/>
        </w:rPr>
      </w:pPr>
      <w:r>
        <w:rPr>
          <w:rFonts w:ascii="Verdana" w:hAnsi="Verdana"/>
        </w:rPr>
        <w:t xml:space="preserve">The Housing Acts of 1985 and 1988 </w:t>
      </w:r>
      <w:r w:rsidR="00212037">
        <w:rPr>
          <w:rFonts w:ascii="Verdana" w:hAnsi="Verdana"/>
        </w:rPr>
        <w:t xml:space="preserve">respectively </w:t>
      </w:r>
      <w:r>
        <w:rPr>
          <w:rFonts w:ascii="Verdana" w:hAnsi="Verdana"/>
        </w:rPr>
        <w:t xml:space="preserve">include a schedule of </w:t>
      </w:r>
      <w:r w:rsidR="005B6AD2">
        <w:rPr>
          <w:rFonts w:ascii="Verdana" w:hAnsi="Verdana"/>
        </w:rPr>
        <w:t xml:space="preserve">the </w:t>
      </w:r>
      <w:r>
        <w:rPr>
          <w:rFonts w:ascii="Verdana" w:hAnsi="Verdana"/>
        </w:rPr>
        <w:t>types of tenancy that cannot legally be secure</w:t>
      </w:r>
      <w:r w:rsidR="000C77DD">
        <w:rPr>
          <w:rFonts w:ascii="Verdana" w:hAnsi="Verdana"/>
        </w:rPr>
        <w:t xml:space="preserve"> or </w:t>
      </w:r>
      <w:r>
        <w:rPr>
          <w:rFonts w:ascii="Verdana" w:hAnsi="Verdana"/>
        </w:rPr>
        <w:t xml:space="preserve">assured. Those tenancy types mainly arise in quite specific legal circumstances and this </w:t>
      </w:r>
      <w:r w:rsidR="00352F97">
        <w:rPr>
          <w:rFonts w:ascii="Verdana" w:hAnsi="Verdana"/>
        </w:rPr>
        <w:t>Tenancy S</w:t>
      </w:r>
      <w:r>
        <w:rPr>
          <w:rFonts w:ascii="Verdana" w:hAnsi="Verdana"/>
        </w:rPr>
        <w:t xml:space="preserve">trategy does not apply to them unless they are expressly </w:t>
      </w:r>
      <w:r w:rsidR="000C77DD">
        <w:rPr>
          <w:rFonts w:ascii="Verdana" w:hAnsi="Verdana"/>
        </w:rPr>
        <w:t>cover</w:t>
      </w:r>
      <w:r>
        <w:rPr>
          <w:rFonts w:ascii="Verdana" w:hAnsi="Verdana"/>
        </w:rPr>
        <w:t>ed</w:t>
      </w:r>
      <w:r w:rsidR="00606251">
        <w:rPr>
          <w:rFonts w:ascii="Verdana" w:hAnsi="Verdana"/>
        </w:rPr>
        <w:t xml:space="preserve"> in the </w:t>
      </w:r>
      <w:r w:rsidR="00352F97">
        <w:rPr>
          <w:rFonts w:ascii="Verdana" w:hAnsi="Verdana"/>
        </w:rPr>
        <w:t>S</w:t>
      </w:r>
      <w:r w:rsidR="00606251">
        <w:rPr>
          <w:rFonts w:ascii="Verdana" w:hAnsi="Verdana"/>
        </w:rPr>
        <w:t>trategy</w:t>
      </w:r>
      <w:r>
        <w:rPr>
          <w:rFonts w:ascii="Verdana" w:hAnsi="Verdana"/>
        </w:rPr>
        <w:t xml:space="preserve">. </w:t>
      </w:r>
      <w:r w:rsidR="006D7E9D">
        <w:rPr>
          <w:rFonts w:ascii="Verdana" w:hAnsi="Verdana"/>
        </w:rPr>
        <w:tab/>
      </w:r>
    </w:p>
    <w:p w14:paraId="626AE8DD" w14:textId="77777777" w:rsidR="00B45273" w:rsidRDefault="006D7E9D" w:rsidP="006D7E9D">
      <w:pPr>
        <w:tabs>
          <w:tab w:val="left" w:pos="2321"/>
        </w:tabs>
        <w:rPr>
          <w:rFonts w:ascii="Verdana" w:hAnsi="Verdana"/>
        </w:rPr>
      </w:pPr>
      <w:r>
        <w:rPr>
          <w:rFonts w:ascii="Verdana" w:hAnsi="Verdana"/>
        </w:rPr>
        <w:tab/>
      </w:r>
    </w:p>
    <w:p w14:paraId="3A744DC3" w14:textId="38C7748D" w:rsidR="00B45273" w:rsidRDefault="00B45273" w:rsidP="00B45273">
      <w:pPr>
        <w:rPr>
          <w:rFonts w:ascii="Verdana" w:hAnsi="Verdana"/>
        </w:rPr>
      </w:pPr>
      <w:r>
        <w:rPr>
          <w:rFonts w:ascii="Verdana" w:hAnsi="Verdana"/>
        </w:rPr>
        <w:t>Until 2012</w:t>
      </w:r>
      <w:r w:rsidR="00352F97">
        <w:rPr>
          <w:rFonts w:ascii="Verdana" w:hAnsi="Verdana"/>
        </w:rPr>
        <w:t>,</w:t>
      </w:r>
      <w:r>
        <w:rPr>
          <w:rFonts w:ascii="Verdana" w:hAnsi="Verdana"/>
        </w:rPr>
        <w:t xml:space="preserve"> Periodic Tenancies were the default tenancy offered by all Social Landlords, usually with a 12 month Introductory or Starter Tenancy period at the outset. The Councils believe that these tenancies are the most appropriate form of tenancy for rented housing that has been/is being developed for those whose housing needs are not met by the market. </w:t>
      </w:r>
    </w:p>
    <w:p w14:paraId="1AD805C3" w14:textId="77777777" w:rsidR="00B45273" w:rsidRDefault="00B45273" w:rsidP="00B45273">
      <w:pPr>
        <w:rPr>
          <w:rFonts w:ascii="Verdana" w:hAnsi="Verdana"/>
        </w:rPr>
      </w:pPr>
    </w:p>
    <w:p w14:paraId="6C61CE19" w14:textId="55186692" w:rsidR="00B45273" w:rsidRDefault="00B45273" w:rsidP="00B45273">
      <w:pPr>
        <w:rPr>
          <w:rFonts w:ascii="Verdana" w:hAnsi="Verdana"/>
        </w:rPr>
      </w:pPr>
      <w:r>
        <w:rPr>
          <w:rFonts w:ascii="Verdana" w:hAnsi="Verdana"/>
        </w:rPr>
        <w:t>The Councils therefore encourage and support</w:t>
      </w:r>
      <w:r w:rsidR="006C6941">
        <w:rPr>
          <w:rFonts w:ascii="Verdana" w:hAnsi="Verdana"/>
        </w:rPr>
        <w:t xml:space="preserve"> </w:t>
      </w:r>
      <w:r>
        <w:rPr>
          <w:rFonts w:ascii="Verdana" w:hAnsi="Verdana"/>
        </w:rPr>
        <w:t xml:space="preserve">the use of Periodic Tenancies in the generality of the rented housing stock of Social Landlords across the Designated Area. </w:t>
      </w:r>
      <w:r w:rsidR="00C55F24">
        <w:rPr>
          <w:rFonts w:ascii="Verdana" w:hAnsi="Verdana"/>
        </w:rPr>
        <w:t xml:space="preserve"> </w:t>
      </w:r>
      <w:r>
        <w:rPr>
          <w:rFonts w:ascii="Verdana" w:hAnsi="Verdana"/>
        </w:rPr>
        <w:t xml:space="preserve">However, for Social Landlords that do not use Periodic </w:t>
      </w:r>
      <w:r>
        <w:rPr>
          <w:rFonts w:ascii="Verdana" w:hAnsi="Verdana"/>
        </w:rPr>
        <w:lastRenderedPageBreak/>
        <w:t>Tenancies as a matter of course the following matters should be taken into consideration</w:t>
      </w:r>
      <w:r w:rsidR="00606251">
        <w:rPr>
          <w:rFonts w:ascii="Verdana" w:hAnsi="Verdana"/>
        </w:rPr>
        <w:t>:</w:t>
      </w:r>
    </w:p>
    <w:p w14:paraId="25C08698" w14:textId="77777777" w:rsidR="00371724" w:rsidRDefault="00371724" w:rsidP="00B45273">
      <w:pPr>
        <w:rPr>
          <w:rFonts w:ascii="Verdana" w:hAnsi="Verdana"/>
        </w:rPr>
      </w:pPr>
    </w:p>
    <w:p w14:paraId="7F2C8120" w14:textId="77777777" w:rsidR="00B45273" w:rsidRDefault="00B45273" w:rsidP="00B45273">
      <w:pPr>
        <w:pStyle w:val="ListParagraph"/>
        <w:numPr>
          <w:ilvl w:val="0"/>
          <w:numId w:val="28"/>
        </w:numPr>
        <w:rPr>
          <w:rFonts w:ascii="Verdana" w:hAnsi="Verdana"/>
        </w:rPr>
      </w:pPr>
      <w:r>
        <w:rPr>
          <w:rFonts w:ascii="Verdana" w:hAnsi="Verdana"/>
        </w:rPr>
        <w:t>F</w:t>
      </w:r>
      <w:r w:rsidRPr="00897247">
        <w:rPr>
          <w:rFonts w:ascii="Verdana" w:hAnsi="Verdana"/>
        </w:rPr>
        <w:t>or vulnerable tenants</w:t>
      </w:r>
      <w:r>
        <w:rPr>
          <w:rFonts w:ascii="Verdana" w:hAnsi="Verdana"/>
        </w:rPr>
        <w:t>,</w:t>
      </w:r>
      <w:r w:rsidRPr="00897247">
        <w:rPr>
          <w:rFonts w:ascii="Verdana" w:hAnsi="Verdana"/>
        </w:rPr>
        <w:t xml:space="preserve"> where the cause of vulnerability is unlikely to change</w:t>
      </w:r>
      <w:r>
        <w:rPr>
          <w:rFonts w:ascii="Verdana" w:hAnsi="Verdana"/>
        </w:rPr>
        <w:t>,</w:t>
      </w:r>
      <w:r w:rsidRPr="004A6B56">
        <w:rPr>
          <w:rFonts w:ascii="Verdana" w:hAnsi="Verdana"/>
        </w:rPr>
        <w:t xml:space="preserve"> </w:t>
      </w:r>
      <w:r>
        <w:rPr>
          <w:rFonts w:ascii="Verdana" w:hAnsi="Verdana"/>
        </w:rPr>
        <w:t>Periodic</w:t>
      </w:r>
      <w:r w:rsidRPr="00897247">
        <w:rPr>
          <w:rFonts w:ascii="Verdana" w:hAnsi="Verdana"/>
        </w:rPr>
        <w:t xml:space="preserve"> Tenancies should be the default tenancy. However, a Fixed Term Tenancy longer than five years may be considered in exceptional circumstances for vulnerable tenants where there is a prospect of </w:t>
      </w:r>
      <w:r>
        <w:rPr>
          <w:rFonts w:ascii="Verdana" w:hAnsi="Verdana"/>
        </w:rPr>
        <w:t xml:space="preserve">a change in </w:t>
      </w:r>
      <w:r w:rsidRPr="00897247">
        <w:rPr>
          <w:rFonts w:ascii="Verdana" w:hAnsi="Verdana"/>
        </w:rPr>
        <w:t xml:space="preserve">the circumstances that make them vulnerable </w:t>
      </w:r>
      <w:r>
        <w:rPr>
          <w:rFonts w:ascii="Verdana" w:hAnsi="Verdana"/>
        </w:rPr>
        <w:t>that would enable them</w:t>
      </w:r>
      <w:r w:rsidRPr="00897247">
        <w:rPr>
          <w:rFonts w:ascii="Verdana" w:hAnsi="Verdana"/>
        </w:rPr>
        <w:t xml:space="preserve"> to benefit from a change to their housing circumstances. </w:t>
      </w:r>
    </w:p>
    <w:p w14:paraId="0980595D" w14:textId="77777777" w:rsidR="00C55F24" w:rsidRPr="00897247" w:rsidRDefault="00C55F24" w:rsidP="00C55F24">
      <w:pPr>
        <w:pStyle w:val="ListParagraph"/>
        <w:rPr>
          <w:rFonts w:ascii="Verdana" w:hAnsi="Verdana"/>
        </w:rPr>
      </w:pPr>
    </w:p>
    <w:p w14:paraId="6962A621" w14:textId="77777777" w:rsidR="00B45273" w:rsidRDefault="00B45273" w:rsidP="00B45273">
      <w:pPr>
        <w:pStyle w:val="ListParagraph"/>
        <w:numPr>
          <w:ilvl w:val="0"/>
          <w:numId w:val="28"/>
        </w:numPr>
        <w:rPr>
          <w:rFonts w:ascii="Verdana" w:hAnsi="Verdana"/>
        </w:rPr>
      </w:pPr>
      <w:r>
        <w:rPr>
          <w:rFonts w:ascii="Verdana" w:hAnsi="Verdana"/>
        </w:rPr>
        <w:t>There should be a strong presumption that t</w:t>
      </w:r>
      <w:r w:rsidRPr="00AD4F1D">
        <w:rPr>
          <w:rFonts w:ascii="Verdana" w:hAnsi="Verdana"/>
        </w:rPr>
        <w:t>enants in sheltered housing or Extra Care Housing should be offered Periodic Tenancies.</w:t>
      </w:r>
    </w:p>
    <w:p w14:paraId="088C236C" w14:textId="77777777" w:rsidR="00B45273" w:rsidRDefault="00B45273" w:rsidP="00B45273">
      <w:pPr>
        <w:rPr>
          <w:rFonts w:ascii="Verdana" w:hAnsi="Verdana"/>
        </w:rPr>
      </w:pPr>
    </w:p>
    <w:p w14:paraId="1524125A" w14:textId="0C264616" w:rsidR="00371724" w:rsidRDefault="00B0362D" w:rsidP="0024648D">
      <w:pPr>
        <w:rPr>
          <w:rFonts w:ascii="Verdana" w:hAnsi="Verdana"/>
          <w:b/>
        </w:rPr>
      </w:pPr>
      <w:r>
        <w:rPr>
          <w:rFonts w:ascii="Verdana" w:hAnsi="Verdana"/>
          <w:b/>
        </w:rPr>
        <w:t>5</w:t>
      </w:r>
      <w:r w:rsidR="00947FEF" w:rsidRPr="00947FEF">
        <w:rPr>
          <w:rFonts w:ascii="Verdana" w:hAnsi="Verdana"/>
          <w:b/>
        </w:rPr>
        <w:t>.</w:t>
      </w:r>
      <w:r w:rsidR="00B45273">
        <w:rPr>
          <w:rFonts w:ascii="Verdana" w:hAnsi="Verdana"/>
          <w:b/>
        </w:rPr>
        <w:t>2</w:t>
      </w:r>
      <w:r w:rsidR="00947FEF" w:rsidRPr="00947FEF">
        <w:rPr>
          <w:rFonts w:ascii="Verdana" w:hAnsi="Verdana"/>
          <w:b/>
        </w:rPr>
        <w:tab/>
        <w:t>Introductory Tenancies and Starter Tenancies</w:t>
      </w:r>
    </w:p>
    <w:p w14:paraId="00A90C45" w14:textId="77777777" w:rsidR="00371724" w:rsidRDefault="00371724" w:rsidP="0024648D">
      <w:pPr>
        <w:rPr>
          <w:rFonts w:ascii="Verdana" w:hAnsi="Verdana"/>
          <w:b/>
        </w:rPr>
      </w:pPr>
    </w:p>
    <w:p w14:paraId="07474A56" w14:textId="514C2866" w:rsidR="00606251" w:rsidRDefault="00176B1C" w:rsidP="0024648D">
      <w:pPr>
        <w:rPr>
          <w:rFonts w:ascii="Verdana" w:hAnsi="Verdana"/>
        </w:rPr>
      </w:pPr>
      <w:r w:rsidRPr="00176B1C">
        <w:rPr>
          <w:rFonts w:ascii="Verdana" w:hAnsi="Verdana"/>
        </w:rPr>
        <w:t xml:space="preserve">The Housing Act 1996 introduced a new flexibility for </w:t>
      </w:r>
      <w:r w:rsidR="003F382A">
        <w:rPr>
          <w:rFonts w:ascii="Verdana" w:hAnsi="Verdana"/>
        </w:rPr>
        <w:t>Public Registered Providers</w:t>
      </w:r>
      <w:r w:rsidRPr="00176B1C">
        <w:rPr>
          <w:rFonts w:ascii="Verdana" w:hAnsi="Verdana"/>
        </w:rPr>
        <w:t xml:space="preserve">. They can </w:t>
      </w:r>
      <w:r w:rsidR="003F382A">
        <w:rPr>
          <w:rFonts w:ascii="Verdana" w:hAnsi="Verdana"/>
        </w:rPr>
        <w:t xml:space="preserve">now </w:t>
      </w:r>
      <w:r w:rsidRPr="00176B1C">
        <w:rPr>
          <w:rFonts w:ascii="Verdana" w:hAnsi="Verdana"/>
        </w:rPr>
        <w:t xml:space="preserve">choose to operate </w:t>
      </w:r>
      <w:r w:rsidRPr="00E35785">
        <w:rPr>
          <w:rFonts w:ascii="Verdana" w:hAnsi="Verdana"/>
        </w:rPr>
        <w:t xml:space="preserve">Introductory Tenancies for all new tenants, with a “trial period” of one year, during which the tenant has a lower level of security. At the end of the period the tenancy becomes a Secure Periodic Tenancy unless the </w:t>
      </w:r>
      <w:r w:rsidR="00791778">
        <w:rPr>
          <w:rFonts w:ascii="Verdana" w:hAnsi="Verdana"/>
        </w:rPr>
        <w:t>Public Registered Provider</w:t>
      </w:r>
      <w:r w:rsidR="00791778" w:rsidRPr="00E35785">
        <w:rPr>
          <w:rFonts w:ascii="Verdana" w:hAnsi="Verdana"/>
        </w:rPr>
        <w:t xml:space="preserve"> </w:t>
      </w:r>
      <w:r w:rsidRPr="00E35785">
        <w:rPr>
          <w:rFonts w:ascii="Verdana" w:hAnsi="Verdana"/>
        </w:rPr>
        <w:t xml:space="preserve">takes steps to either extend the trial period or terminate the tenancy. </w:t>
      </w:r>
    </w:p>
    <w:p w14:paraId="54FB76B2" w14:textId="77777777" w:rsidR="00606251" w:rsidRDefault="00606251" w:rsidP="0024648D">
      <w:pPr>
        <w:rPr>
          <w:rFonts w:ascii="Verdana" w:hAnsi="Verdana"/>
        </w:rPr>
      </w:pPr>
    </w:p>
    <w:p w14:paraId="269728B6" w14:textId="77777777" w:rsidR="00791778" w:rsidRDefault="00176B1C" w:rsidP="0024648D">
      <w:pPr>
        <w:rPr>
          <w:rFonts w:ascii="Verdana" w:hAnsi="Verdana"/>
        </w:rPr>
      </w:pPr>
      <w:r w:rsidRPr="00E35785">
        <w:rPr>
          <w:rFonts w:ascii="Verdana" w:hAnsi="Verdana"/>
        </w:rPr>
        <w:t>The regulator at the time (the Housing Corporation) provided, through regulatory guidance, an equivalent scheme of “Starter Tenancies” for</w:t>
      </w:r>
      <w:r w:rsidRPr="00176B1C">
        <w:rPr>
          <w:rFonts w:ascii="Verdana" w:hAnsi="Verdana"/>
        </w:rPr>
        <w:t xml:space="preserve"> use at the discretion of Private Registered Providers. </w:t>
      </w:r>
    </w:p>
    <w:p w14:paraId="7FB93C02" w14:textId="77777777" w:rsidR="00791778" w:rsidRDefault="00791778" w:rsidP="0024648D">
      <w:pPr>
        <w:rPr>
          <w:rFonts w:ascii="Verdana" w:hAnsi="Verdana"/>
        </w:rPr>
      </w:pPr>
    </w:p>
    <w:p w14:paraId="4E057700" w14:textId="5C45E042" w:rsidR="00176B1C" w:rsidRDefault="00176B1C" w:rsidP="0024648D">
      <w:pPr>
        <w:rPr>
          <w:rFonts w:ascii="Verdana" w:hAnsi="Verdana"/>
        </w:rPr>
      </w:pPr>
      <w:r w:rsidRPr="00176B1C">
        <w:rPr>
          <w:rFonts w:ascii="Verdana" w:hAnsi="Verdana"/>
        </w:rPr>
        <w:t>These two tenure schemes are sometimes referred to as “probationary tenancies” because the intention behind them was that, provided that the tenant conducted the tenancy satisfactorily during the trial period</w:t>
      </w:r>
      <w:r>
        <w:rPr>
          <w:rFonts w:ascii="Verdana" w:hAnsi="Verdana"/>
        </w:rPr>
        <w:t>,</w:t>
      </w:r>
      <w:r w:rsidRPr="00176B1C">
        <w:rPr>
          <w:rFonts w:ascii="Verdana" w:hAnsi="Verdana"/>
        </w:rPr>
        <w:t xml:space="preserve"> they would become fully secure/assured but if they did not</w:t>
      </w:r>
      <w:r w:rsidR="00E33365">
        <w:rPr>
          <w:rFonts w:ascii="Verdana" w:hAnsi="Verdana"/>
        </w:rPr>
        <w:t>,</w:t>
      </w:r>
      <w:r w:rsidRPr="00176B1C">
        <w:rPr>
          <w:rFonts w:ascii="Verdana" w:hAnsi="Verdana"/>
        </w:rPr>
        <w:t xml:space="preserve"> they could be evicted more quickly and easily.</w:t>
      </w:r>
    </w:p>
    <w:p w14:paraId="42B31E94" w14:textId="77777777" w:rsidR="00176B1C" w:rsidRDefault="00176B1C" w:rsidP="0024648D">
      <w:pPr>
        <w:rPr>
          <w:rFonts w:ascii="Verdana" w:hAnsi="Verdana"/>
        </w:rPr>
      </w:pPr>
    </w:p>
    <w:p w14:paraId="6CA8FCF6" w14:textId="12CD1D6A" w:rsidR="00951A6C" w:rsidRDefault="000716DC" w:rsidP="0024648D">
      <w:pPr>
        <w:rPr>
          <w:rFonts w:ascii="Verdana" w:hAnsi="Verdana"/>
        </w:rPr>
      </w:pPr>
      <w:r w:rsidRPr="000716DC">
        <w:rPr>
          <w:rFonts w:ascii="Verdana" w:hAnsi="Verdana"/>
        </w:rPr>
        <w:t>The Councils</w:t>
      </w:r>
      <w:r w:rsidR="0088777A">
        <w:rPr>
          <w:rFonts w:ascii="Verdana" w:hAnsi="Verdana"/>
        </w:rPr>
        <w:t xml:space="preserve"> recognise the benefits of using </w:t>
      </w:r>
      <w:r w:rsidR="00606251">
        <w:rPr>
          <w:rFonts w:ascii="Verdana" w:hAnsi="Verdana"/>
        </w:rPr>
        <w:t>I</w:t>
      </w:r>
      <w:r w:rsidR="0088777A">
        <w:rPr>
          <w:rFonts w:ascii="Verdana" w:hAnsi="Verdana"/>
        </w:rPr>
        <w:t>ntroductory/</w:t>
      </w:r>
      <w:r w:rsidR="00606251">
        <w:rPr>
          <w:rFonts w:ascii="Verdana" w:hAnsi="Verdana"/>
        </w:rPr>
        <w:t>S</w:t>
      </w:r>
      <w:r w:rsidR="0088777A">
        <w:rPr>
          <w:rFonts w:ascii="Verdana" w:hAnsi="Verdana"/>
        </w:rPr>
        <w:t>tarter tenancies for the first year of a new tenancy.</w:t>
      </w:r>
      <w:r w:rsidR="00606251">
        <w:rPr>
          <w:rFonts w:ascii="Verdana" w:hAnsi="Verdana"/>
        </w:rPr>
        <w:t xml:space="preserve"> </w:t>
      </w:r>
      <w:r w:rsidR="0088777A">
        <w:rPr>
          <w:rFonts w:ascii="Verdana" w:hAnsi="Verdana"/>
        </w:rPr>
        <w:t xml:space="preserve">Such schemes give new tenants time to </w:t>
      </w:r>
      <w:r w:rsidR="00350EC4">
        <w:rPr>
          <w:rFonts w:ascii="Verdana" w:hAnsi="Verdana"/>
        </w:rPr>
        <w:t xml:space="preserve">better </w:t>
      </w:r>
      <w:r w:rsidR="00951A6C">
        <w:rPr>
          <w:rFonts w:ascii="Verdana" w:hAnsi="Verdana"/>
        </w:rPr>
        <w:t>understand and adapt to their rights and responsibilities under a tenancy agreement</w:t>
      </w:r>
      <w:r w:rsidR="00D6028C">
        <w:rPr>
          <w:rFonts w:ascii="Verdana" w:hAnsi="Verdana"/>
        </w:rPr>
        <w:t>, including the financial impacts</w:t>
      </w:r>
      <w:r w:rsidR="00951A6C">
        <w:rPr>
          <w:rFonts w:ascii="Verdana" w:hAnsi="Verdana"/>
        </w:rPr>
        <w:t xml:space="preserve">. They also provide </w:t>
      </w:r>
      <w:r w:rsidR="007549A6">
        <w:rPr>
          <w:rFonts w:ascii="Verdana" w:hAnsi="Verdana"/>
        </w:rPr>
        <w:t xml:space="preserve">Social Landlords </w:t>
      </w:r>
      <w:r w:rsidR="00951A6C">
        <w:rPr>
          <w:rFonts w:ascii="Verdana" w:hAnsi="Verdana"/>
        </w:rPr>
        <w:t xml:space="preserve">with the opportunity of engaging more closely with new tenants to help them to </w:t>
      </w:r>
      <w:r w:rsidR="00D6028C">
        <w:rPr>
          <w:rFonts w:ascii="Verdana" w:hAnsi="Verdana"/>
        </w:rPr>
        <w:t>find an early resolution to</w:t>
      </w:r>
      <w:r w:rsidR="00951A6C">
        <w:rPr>
          <w:rFonts w:ascii="Verdana" w:hAnsi="Verdana"/>
        </w:rPr>
        <w:t xml:space="preserve"> </w:t>
      </w:r>
      <w:r w:rsidR="00D6028C">
        <w:rPr>
          <w:rFonts w:ascii="Verdana" w:hAnsi="Verdana"/>
        </w:rPr>
        <w:t xml:space="preserve">any </w:t>
      </w:r>
      <w:r w:rsidR="00951A6C">
        <w:rPr>
          <w:rFonts w:ascii="Verdana" w:hAnsi="Verdana"/>
        </w:rPr>
        <w:t>problems that may arise</w:t>
      </w:r>
      <w:r w:rsidR="00D6028C">
        <w:rPr>
          <w:rFonts w:ascii="Verdana" w:hAnsi="Verdana"/>
        </w:rPr>
        <w:t xml:space="preserve">. On the rare occasions where a new tenant does not live up to the behavioural requirements expected the </w:t>
      </w:r>
      <w:r w:rsidR="007549A6">
        <w:rPr>
          <w:rFonts w:ascii="Verdana" w:hAnsi="Verdana"/>
        </w:rPr>
        <w:t>Social L</w:t>
      </w:r>
      <w:r w:rsidR="00D6028C">
        <w:rPr>
          <w:rFonts w:ascii="Verdana" w:hAnsi="Verdana"/>
        </w:rPr>
        <w:t>andlord is able, as a last resort, to evict more quickly, protecting the wider community from the harm that can result from persistent anti-social behaviour</w:t>
      </w:r>
      <w:r w:rsidR="00951A6C">
        <w:rPr>
          <w:rFonts w:ascii="Verdana" w:hAnsi="Verdana"/>
        </w:rPr>
        <w:t>.</w:t>
      </w:r>
    </w:p>
    <w:p w14:paraId="29FD6A78" w14:textId="77777777" w:rsidR="00951A6C" w:rsidRDefault="00951A6C" w:rsidP="0024648D">
      <w:pPr>
        <w:rPr>
          <w:rFonts w:ascii="Verdana" w:hAnsi="Verdana"/>
        </w:rPr>
      </w:pPr>
    </w:p>
    <w:p w14:paraId="79EA563B" w14:textId="7B9D66A4" w:rsidR="00C2476D" w:rsidRPr="000716DC" w:rsidRDefault="00C2476D" w:rsidP="0024648D">
      <w:pPr>
        <w:rPr>
          <w:rFonts w:ascii="Verdana" w:hAnsi="Verdana"/>
        </w:rPr>
      </w:pPr>
      <w:r>
        <w:rPr>
          <w:rFonts w:ascii="Verdana" w:hAnsi="Verdana"/>
        </w:rPr>
        <w:t xml:space="preserve">Introductory Tenant schemes for </w:t>
      </w:r>
      <w:r w:rsidR="00FE28D5">
        <w:rPr>
          <w:rFonts w:ascii="Verdana" w:hAnsi="Verdana"/>
        </w:rPr>
        <w:t xml:space="preserve">Public Registered Providers </w:t>
      </w:r>
      <w:r>
        <w:rPr>
          <w:rFonts w:ascii="Verdana" w:hAnsi="Verdana"/>
        </w:rPr>
        <w:t>must be used for all new tenants</w:t>
      </w:r>
      <w:r w:rsidR="00FE28D5">
        <w:rPr>
          <w:rFonts w:ascii="Verdana" w:hAnsi="Verdana"/>
        </w:rPr>
        <w:t>,</w:t>
      </w:r>
      <w:r w:rsidR="00371724">
        <w:rPr>
          <w:rFonts w:ascii="Verdana" w:hAnsi="Verdana"/>
        </w:rPr>
        <w:t xml:space="preserve"> if </w:t>
      </w:r>
      <w:r w:rsidR="00FE28D5">
        <w:rPr>
          <w:rFonts w:ascii="Verdana" w:hAnsi="Verdana"/>
        </w:rPr>
        <w:t xml:space="preserve">such schemes are </w:t>
      </w:r>
      <w:r w:rsidR="00371724">
        <w:rPr>
          <w:rFonts w:ascii="Verdana" w:hAnsi="Verdana"/>
        </w:rPr>
        <w:t>adopted,</w:t>
      </w:r>
      <w:r>
        <w:rPr>
          <w:rFonts w:ascii="Verdana" w:hAnsi="Verdana"/>
        </w:rPr>
        <w:t xml:space="preserve"> </w:t>
      </w:r>
      <w:r w:rsidR="007F68DA">
        <w:rPr>
          <w:rFonts w:ascii="Verdana" w:hAnsi="Verdana"/>
        </w:rPr>
        <w:t>with limited exceptions</w:t>
      </w:r>
      <w:r w:rsidR="00D40328">
        <w:rPr>
          <w:rFonts w:ascii="Verdana" w:hAnsi="Verdana"/>
        </w:rPr>
        <w:t xml:space="preserve"> </w:t>
      </w:r>
      <w:r w:rsidR="007D6F9C">
        <w:rPr>
          <w:rFonts w:ascii="Verdana" w:hAnsi="Verdana"/>
        </w:rPr>
        <w:t>(</w:t>
      </w:r>
      <w:r w:rsidR="007F68DA">
        <w:rPr>
          <w:rFonts w:ascii="Verdana" w:hAnsi="Verdana"/>
        </w:rPr>
        <w:t>for example</w:t>
      </w:r>
      <w:r w:rsidR="007D6F9C">
        <w:rPr>
          <w:rFonts w:ascii="Verdana" w:hAnsi="Verdana"/>
        </w:rPr>
        <w:t>,</w:t>
      </w:r>
      <w:r w:rsidR="007F68DA">
        <w:rPr>
          <w:rFonts w:ascii="Verdana" w:hAnsi="Verdana"/>
        </w:rPr>
        <w:t xml:space="preserve"> </w:t>
      </w:r>
      <w:r>
        <w:rPr>
          <w:rFonts w:ascii="Verdana" w:hAnsi="Verdana"/>
        </w:rPr>
        <w:t>existing Periodic Tenants moving to another home</w:t>
      </w:r>
      <w:r w:rsidR="007D6F9C">
        <w:rPr>
          <w:rFonts w:ascii="Verdana" w:hAnsi="Verdana"/>
        </w:rPr>
        <w:t>)</w:t>
      </w:r>
      <w:r>
        <w:rPr>
          <w:rFonts w:ascii="Verdana" w:hAnsi="Verdana"/>
        </w:rPr>
        <w:t>. The Tenancy Standard does not expressly include a similar requirement for Starter Tenancies. However</w:t>
      </w:r>
      <w:r w:rsidR="007F68DA">
        <w:rPr>
          <w:rFonts w:ascii="Verdana" w:hAnsi="Verdana"/>
        </w:rPr>
        <w:t>,</w:t>
      </w:r>
      <w:r>
        <w:rPr>
          <w:rFonts w:ascii="Verdana" w:hAnsi="Verdana"/>
        </w:rPr>
        <w:t xml:space="preserve"> the Councils strongly encourage Private Registered </w:t>
      </w:r>
      <w:r w:rsidR="007F68DA">
        <w:rPr>
          <w:rFonts w:ascii="Verdana" w:hAnsi="Verdana"/>
        </w:rPr>
        <w:t>P</w:t>
      </w:r>
      <w:r>
        <w:rPr>
          <w:rFonts w:ascii="Verdana" w:hAnsi="Verdana"/>
        </w:rPr>
        <w:t xml:space="preserve">roviders to adopt </w:t>
      </w:r>
      <w:r w:rsidR="00606251">
        <w:rPr>
          <w:rFonts w:ascii="Verdana" w:hAnsi="Verdana"/>
        </w:rPr>
        <w:t>this</w:t>
      </w:r>
      <w:r>
        <w:rPr>
          <w:rFonts w:ascii="Verdana" w:hAnsi="Verdana"/>
        </w:rPr>
        <w:t xml:space="preserve"> principle for </w:t>
      </w:r>
      <w:r w:rsidR="0051230F">
        <w:rPr>
          <w:rFonts w:ascii="Verdana" w:hAnsi="Verdana"/>
        </w:rPr>
        <w:t>the</w:t>
      </w:r>
      <w:r>
        <w:rPr>
          <w:rFonts w:ascii="Verdana" w:hAnsi="Verdana"/>
        </w:rPr>
        <w:t xml:space="preserve"> housing stock</w:t>
      </w:r>
      <w:r w:rsidR="0051230F">
        <w:rPr>
          <w:rFonts w:ascii="Verdana" w:hAnsi="Verdana"/>
        </w:rPr>
        <w:t xml:space="preserve"> they have within the Designated Area</w:t>
      </w:r>
      <w:r w:rsidR="007F68DA">
        <w:rPr>
          <w:rFonts w:ascii="Verdana" w:hAnsi="Verdana"/>
        </w:rPr>
        <w:t xml:space="preserve"> rather than making decisions over Starter Tenancies on a case-by-case basis</w:t>
      </w:r>
      <w:r>
        <w:rPr>
          <w:rFonts w:ascii="Verdana" w:hAnsi="Verdana"/>
        </w:rPr>
        <w:t>.</w:t>
      </w:r>
    </w:p>
    <w:p w14:paraId="2DFB1111" w14:textId="77777777" w:rsidR="00947FEF" w:rsidRDefault="00947FEF" w:rsidP="0024648D">
      <w:pPr>
        <w:rPr>
          <w:rFonts w:ascii="Verdana" w:hAnsi="Verdana"/>
          <w:b/>
        </w:rPr>
      </w:pPr>
    </w:p>
    <w:p w14:paraId="13CA87EE" w14:textId="1C77249D" w:rsidR="00631A1E" w:rsidRDefault="007F68DA" w:rsidP="007F68DA">
      <w:pPr>
        <w:rPr>
          <w:rFonts w:ascii="Verdana" w:hAnsi="Verdana"/>
        </w:rPr>
      </w:pPr>
      <w:r>
        <w:rPr>
          <w:rFonts w:ascii="Verdana" w:hAnsi="Verdana"/>
        </w:rPr>
        <w:lastRenderedPageBreak/>
        <w:t xml:space="preserve">While </w:t>
      </w:r>
      <w:r w:rsidR="00CD588E">
        <w:rPr>
          <w:rFonts w:ascii="Verdana" w:hAnsi="Verdana"/>
        </w:rPr>
        <w:t xml:space="preserve">Introductory and Starter </w:t>
      </w:r>
      <w:r>
        <w:rPr>
          <w:rFonts w:ascii="Verdana" w:hAnsi="Verdana"/>
        </w:rPr>
        <w:t xml:space="preserve">tenancies were originally introduced as a tool for tackling anti-social behaviour, the grounds for eviction are not limited to anti-social actions and over the years, eviction for rent arrears has also become a feature. </w:t>
      </w:r>
    </w:p>
    <w:p w14:paraId="5BCD6544" w14:textId="77777777" w:rsidR="00631A1E" w:rsidRDefault="00631A1E" w:rsidP="007F68DA">
      <w:pPr>
        <w:rPr>
          <w:rFonts w:ascii="Verdana" w:hAnsi="Verdana"/>
        </w:rPr>
      </w:pPr>
    </w:p>
    <w:p w14:paraId="71B2B732" w14:textId="5626A4B9" w:rsidR="007F68DA" w:rsidRDefault="007F68DA" w:rsidP="007F68DA">
      <w:pPr>
        <w:rPr>
          <w:rFonts w:ascii="Verdana" w:hAnsi="Verdana"/>
        </w:rPr>
      </w:pPr>
      <w:r>
        <w:rPr>
          <w:rFonts w:ascii="Verdana" w:hAnsi="Verdana"/>
        </w:rPr>
        <w:t>The Councils consider that the use of Introductory/Starter Tenancies can play a role in affordability assessment</w:t>
      </w:r>
      <w:r w:rsidR="00631A1E" w:rsidRPr="00260DE5">
        <w:rPr>
          <w:rFonts w:ascii="Verdana" w:hAnsi="Verdana"/>
          <w:color w:val="auto"/>
        </w:rPr>
        <w:t>, which is particularly important in the context of homelessness</w:t>
      </w:r>
      <w:r w:rsidR="00CD588E">
        <w:rPr>
          <w:rFonts w:ascii="Verdana" w:hAnsi="Verdana"/>
          <w:color w:val="auto"/>
        </w:rPr>
        <w:t xml:space="preserve"> as</w:t>
      </w:r>
      <w:r w:rsidR="00CD588E" w:rsidRPr="00260DE5">
        <w:rPr>
          <w:rFonts w:ascii="Verdana" w:hAnsi="Verdana"/>
          <w:color w:val="auto"/>
        </w:rPr>
        <w:t xml:space="preserve"> </w:t>
      </w:r>
      <w:r w:rsidR="00631A1E" w:rsidRPr="00260DE5">
        <w:rPr>
          <w:rFonts w:ascii="Verdana" w:hAnsi="Verdana"/>
          <w:color w:val="auto"/>
        </w:rPr>
        <w:t>financial inclusion is one of the five key priorities addressed in the countywide homelessness strategy</w:t>
      </w:r>
      <w:r w:rsidRPr="00260DE5">
        <w:rPr>
          <w:rFonts w:ascii="Verdana" w:hAnsi="Verdana"/>
          <w:color w:val="auto"/>
        </w:rPr>
        <w:t xml:space="preserve">. </w:t>
      </w:r>
      <w:r>
        <w:rPr>
          <w:rFonts w:ascii="Verdana" w:hAnsi="Verdana"/>
        </w:rPr>
        <w:t xml:space="preserve">While </w:t>
      </w:r>
      <w:r w:rsidR="00B72524">
        <w:rPr>
          <w:rFonts w:ascii="Verdana" w:hAnsi="Verdana"/>
        </w:rPr>
        <w:t xml:space="preserve">basic income/expenditure assessments may be informative, a purely formulaic assessment fails to take account of the myriad ways in which individuals and their families may manage their household incomings and outgoings. Introductory or Starter Tenancies offer new tenants the opportunity to demonstrate their ability to successfully manage their financial obligations while offering </w:t>
      </w:r>
      <w:r w:rsidR="00E16072">
        <w:rPr>
          <w:rFonts w:ascii="Verdana" w:hAnsi="Verdana"/>
        </w:rPr>
        <w:t>Social L</w:t>
      </w:r>
      <w:r w:rsidR="00B72524">
        <w:rPr>
          <w:rFonts w:ascii="Verdana" w:hAnsi="Verdana"/>
        </w:rPr>
        <w:t xml:space="preserve">andlords some mitigation against the potential for large rent arrears. Where a Social </w:t>
      </w:r>
      <w:r w:rsidR="00D40328">
        <w:rPr>
          <w:rFonts w:ascii="Verdana" w:hAnsi="Verdana"/>
        </w:rPr>
        <w:t>Landlord has</w:t>
      </w:r>
      <w:r w:rsidR="00B72524">
        <w:rPr>
          <w:rFonts w:ascii="Verdana" w:hAnsi="Verdana"/>
        </w:rPr>
        <w:t xml:space="preserve"> adopted a </w:t>
      </w:r>
      <w:r w:rsidR="00363FD0">
        <w:rPr>
          <w:rFonts w:ascii="Verdana" w:hAnsi="Verdana"/>
        </w:rPr>
        <w:t>scheme,</w:t>
      </w:r>
      <w:r w:rsidR="00B72524">
        <w:rPr>
          <w:rFonts w:ascii="Verdana" w:hAnsi="Verdana"/>
        </w:rPr>
        <w:t xml:space="preserve"> this should therefore be a material consideration in granting </w:t>
      </w:r>
      <w:r>
        <w:rPr>
          <w:rFonts w:ascii="Verdana" w:hAnsi="Verdana"/>
        </w:rPr>
        <w:t>a tenancy</w:t>
      </w:r>
      <w:r w:rsidR="00B72524">
        <w:rPr>
          <w:rFonts w:ascii="Verdana" w:hAnsi="Verdana"/>
        </w:rPr>
        <w:t xml:space="preserve"> where there are question marks over affordability</w:t>
      </w:r>
      <w:r>
        <w:rPr>
          <w:rFonts w:ascii="Verdana" w:hAnsi="Verdana"/>
        </w:rPr>
        <w:t xml:space="preserve">. </w:t>
      </w:r>
    </w:p>
    <w:p w14:paraId="702ADCAB" w14:textId="77777777" w:rsidR="00947FEF" w:rsidRDefault="00947FEF" w:rsidP="0024648D">
      <w:pPr>
        <w:rPr>
          <w:rFonts w:ascii="Verdana" w:hAnsi="Verdana"/>
          <w:b/>
        </w:rPr>
      </w:pPr>
    </w:p>
    <w:p w14:paraId="37606E5A" w14:textId="56F91574" w:rsidR="001E4679" w:rsidRDefault="00B0362D" w:rsidP="001E4679">
      <w:pPr>
        <w:rPr>
          <w:rFonts w:ascii="Verdana" w:hAnsi="Verdana"/>
          <w:b/>
        </w:rPr>
      </w:pPr>
      <w:r>
        <w:rPr>
          <w:rFonts w:ascii="Verdana" w:hAnsi="Verdana"/>
          <w:b/>
        </w:rPr>
        <w:t>5</w:t>
      </w:r>
      <w:r w:rsidR="001E4679" w:rsidRPr="00947FEF">
        <w:rPr>
          <w:rFonts w:ascii="Verdana" w:hAnsi="Verdana"/>
          <w:b/>
        </w:rPr>
        <w:t>.</w:t>
      </w:r>
      <w:r w:rsidR="00B45273">
        <w:rPr>
          <w:rFonts w:ascii="Verdana" w:hAnsi="Verdana"/>
          <w:b/>
        </w:rPr>
        <w:t>3</w:t>
      </w:r>
      <w:r w:rsidR="001E4679" w:rsidRPr="00947FEF">
        <w:rPr>
          <w:rFonts w:ascii="Verdana" w:hAnsi="Verdana"/>
          <w:b/>
        </w:rPr>
        <w:tab/>
        <w:t>Demoted Tenancies</w:t>
      </w:r>
    </w:p>
    <w:p w14:paraId="34AB3299" w14:textId="77777777" w:rsidR="00371724" w:rsidRPr="00947FEF" w:rsidRDefault="00371724" w:rsidP="001E4679">
      <w:pPr>
        <w:rPr>
          <w:rFonts w:ascii="Verdana" w:hAnsi="Verdana"/>
          <w:b/>
        </w:rPr>
      </w:pPr>
    </w:p>
    <w:p w14:paraId="097651A2" w14:textId="09FF7B62" w:rsidR="00E35785" w:rsidRPr="00E35785" w:rsidRDefault="00E35785" w:rsidP="00E35785">
      <w:pPr>
        <w:rPr>
          <w:rFonts w:ascii="Verdana" w:hAnsi="Verdana"/>
        </w:rPr>
      </w:pPr>
      <w:r>
        <w:rPr>
          <w:rFonts w:ascii="Verdana" w:hAnsi="Verdana"/>
        </w:rPr>
        <w:t>T</w:t>
      </w:r>
      <w:r w:rsidRPr="00E35785">
        <w:rPr>
          <w:rFonts w:ascii="Verdana" w:hAnsi="Verdana"/>
        </w:rPr>
        <w:t>he Anti-social Behaviour Act</w:t>
      </w:r>
      <w:r w:rsidR="00371724">
        <w:rPr>
          <w:rFonts w:ascii="Verdana" w:hAnsi="Verdana"/>
        </w:rPr>
        <w:t>s and</w:t>
      </w:r>
      <w:r>
        <w:rPr>
          <w:rFonts w:ascii="Verdana" w:hAnsi="Verdana"/>
        </w:rPr>
        <w:t xml:space="preserve"> introduced</w:t>
      </w:r>
      <w:r w:rsidRPr="00E35785">
        <w:rPr>
          <w:rFonts w:ascii="Verdana" w:hAnsi="Verdana"/>
        </w:rPr>
        <w:t xml:space="preserve"> the Demoted Tenancy. This provides an option for Social Landlords </w:t>
      </w:r>
      <w:r w:rsidR="00133D02">
        <w:rPr>
          <w:rFonts w:ascii="Verdana" w:hAnsi="Verdana"/>
        </w:rPr>
        <w:t xml:space="preserve">to </w:t>
      </w:r>
      <w:r w:rsidR="00133D02" w:rsidRPr="00E35785">
        <w:rPr>
          <w:rFonts w:ascii="Verdana" w:hAnsi="Verdana"/>
        </w:rPr>
        <w:t>apply to the county court to make a demotion order</w:t>
      </w:r>
      <w:r w:rsidR="00133D02">
        <w:rPr>
          <w:rFonts w:ascii="Verdana" w:hAnsi="Verdana"/>
        </w:rPr>
        <w:t xml:space="preserve">, </w:t>
      </w:r>
      <w:r w:rsidRPr="00E35785">
        <w:rPr>
          <w:rFonts w:ascii="Verdana" w:hAnsi="Verdana"/>
        </w:rPr>
        <w:t xml:space="preserve">rather than seeking to evict a tenant who is guilty of anti-social behaviour. This order, if granted, converts the Secure or Assured Periodic Tenancy into a Demoted Tenancy. This is </w:t>
      </w:r>
      <w:proofErr w:type="gramStart"/>
      <w:r w:rsidRPr="00E35785">
        <w:rPr>
          <w:rFonts w:ascii="Verdana" w:hAnsi="Verdana"/>
        </w:rPr>
        <w:t>similar to</w:t>
      </w:r>
      <w:proofErr w:type="gramEnd"/>
      <w:r w:rsidRPr="00E35785">
        <w:rPr>
          <w:rFonts w:ascii="Verdana" w:hAnsi="Verdana"/>
        </w:rPr>
        <w:t xml:space="preserve"> the Introductory/Starter Tenancy regime in that the tenant has reduced security of tenure for 12 months and may be evicted more easily during that time if the </w:t>
      </w:r>
      <w:r w:rsidR="0018430C">
        <w:rPr>
          <w:rFonts w:ascii="Verdana" w:hAnsi="Verdana"/>
        </w:rPr>
        <w:t xml:space="preserve">Anti-social </w:t>
      </w:r>
      <w:r w:rsidRPr="00E35785">
        <w:rPr>
          <w:rFonts w:ascii="Verdana" w:hAnsi="Verdana"/>
        </w:rPr>
        <w:t>behaviour continues. If</w:t>
      </w:r>
      <w:r w:rsidR="00DC6F67">
        <w:rPr>
          <w:rFonts w:ascii="Verdana" w:hAnsi="Verdana"/>
        </w:rPr>
        <w:t>,</w:t>
      </w:r>
      <w:r w:rsidRPr="00E35785">
        <w:rPr>
          <w:rFonts w:ascii="Verdana" w:hAnsi="Verdana"/>
        </w:rPr>
        <w:t xml:space="preserve"> however</w:t>
      </w:r>
      <w:r w:rsidR="00DC6F67">
        <w:rPr>
          <w:rFonts w:ascii="Verdana" w:hAnsi="Verdana"/>
        </w:rPr>
        <w:t>,</w:t>
      </w:r>
      <w:r w:rsidRPr="00E35785">
        <w:rPr>
          <w:rFonts w:ascii="Verdana" w:hAnsi="Verdana"/>
        </w:rPr>
        <w:t xml:space="preserve"> there are no further problems then the tenure returns to its former level of security at the end of the </w:t>
      </w:r>
      <w:r w:rsidR="00363FD0" w:rsidRPr="00E35785">
        <w:rPr>
          <w:rFonts w:ascii="Verdana" w:hAnsi="Verdana"/>
        </w:rPr>
        <w:t>12-month</w:t>
      </w:r>
      <w:r w:rsidRPr="00E35785">
        <w:rPr>
          <w:rFonts w:ascii="Verdana" w:hAnsi="Verdana"/>
        </w:rPr>
        <w:t xml:space="preserve"> period</w:t>
      </w:r>
      <w:r w:rsidR="0018430C">
        <w:rPr>
          <w:rFonts w:ascii="Verdana" w:hAnsi="Verdana"/>
        </w:rPr>
        <w:t xml:space="preserve"> of the Demoted Tenancy</w:t>
      </w:r>
      <w:r w:rsidRPr="00E35785">
        <w:rPr>
          <w:rFonts w:ascii="Verdana" w:hAnsi="Verdana"/>
        </w:rPr>
        <w:t>.</w:t>
      </w:r>
    </w:p>
    <w:p w14:paraId="1B266CA6" w14:textId="77777777" w:rsidR="00E35785" w:rsidRPr="00E35785" w:rsidRDefault="00E35785" w:rsidP="00E35785">
      <w:pPr>
        <w:rPr>
          <w:rFonts w:ascii="Verdana" w:hAnsi="Verdana"/>
        </w:rPr>
      </w:pPr>
    </w:p>
    <w:p w14:paraId="2C22EA02" w14:textId="651CFCC0" w:rsidR="00B90434" w:rsidRDefault="00B90434" w:rsidP="001E4679">
      <w:pPr>
        <w:rPr>
          <w:rFonts w:ascii="Verdana" w:hAnsi="Verdana"/>
        </w:rPr>
      </w:pPr>
      <w:r>
        <w:rPr>
          <w:rFonts w:ascii="Verdana" w:hAnsi="Verdana"/>
        </w:rPr>
        <w:t xml:space="preserve">The Councils’ homelessness strategies have always favoured prevention over </w:t>
      </w:r>
      <w:r w:rsidR="00363FD0">
        <w:rPr>
          <w:rFonts w:ascii="Verdana" w:hAnsi="Verdana"/>
        </w:rPr>
        <w:t>cure,</w:t>
      </w:r>
      <w:r>
        <w:rPr>
          <w:rFonts w:ascii="Verdana" w:hAnsi="Verdana"/>
        </w:rPr>
        <w:t xml:space="preserve"> and, with the flexibility introduced by the </w:t>
      </w:r>
      <w:r w:rsidR="000A64F5">
        <w:rPr>
          <w:rFonts w:ascii="Verdana" w:hAnsi="Verdana"/>
        </w:rPr>
        <w:t xml:space="preserve">Homelessness Reduction </w:t>
      </w:r>
      <w:r>
        <w:rPr>
          <w:rFonts w:ascii="Verdana" w:hAnsi="Verdana"/>
        </w:rPr>
        <w:t xml:space="preserve">Act </w:t>
      </w:r>
      <w:r w:rsidR="000A64F5">
        <w:rPr>
          <w:rFonts w:ascii="Verdana" w:hAnsi="Verdana"/>
        </w:rPr>
        <w:t xml:space="preserve">2017 </w:t>
      </w:r>
      <w:r>
        <w:rPr>
          <w:rFonts w:ascii="Verdana" w:hAnsi="Verdana"/>
        </w:rPr>
        <w:t xml:space="preserve">and the </w:t>
      </w:r>
      <w:r w:rsidR="00744066">
        <w:rPr>
          <w:rFonts w:ascii="Verdana" w:hAnsi="Verdana"/>
        </w:rPr>
        <w:t xml:space="preserve">availability of </w:t>
      </w:r>
      <w:r>
        <w:rPr>
          <w:rFonts w:ascii="Verdana" w:hAnsi="Verdana"/>
        </w:rPr>
        <w:t xml:space="preserve">additional government funding, they have been applying </w:t>
      </w:r>
      <w:r w:rsidR="000A64F5">
        <w:rPr>
          <w:rFonts w:ascii="Verdana" w:hAnsi="Verdana"/>
        </w:rPr>
        <w:t>many more</w:t>
      </w:r>
      <w:r>
        <w:rPr>
          <w:rFonts w:ascii="Verdana" w:hAnsi="Verdana"/>
        </w:rPr>
        <w:t xml:space="preserve"> tools and techniques to resolve potential homelessness at a much earlier stage.</w:t>
      </w:r>
    </w:p>
    <w:p w14:paraId="52781010" w14:textId="77777777" w:rsidR="00B90434" w:rsidRDefault="00B90434" w:rsidP="001E4679">
      <w:pPr>
        <w:rPr>
          <w:rFonts w:ascii="Verdana" w:hAnsi="Verdana"/>
        </w:rPr>
      </w:pPr>
    </w:p>
    <w:p w14:paraId="630D1EA3" w14:textId="297F367C" w:rsidR="009A202D" w:rsidRDefault="00B90434" w:rsidP="001E4679">
      <w:pPr>
        <w:rPr>
          <w:rFonts w:ascii="Verdana" w:hAnsi="Verdana"/>
        </w:rPr>
      </w:pPr>
      <w:bookmarkStart w:id="9" w:name="_Hlk143618730"/>
      <w:r>
        <w:rPr>
          <w:rFonts w:ascii="Verdana" w:hAnsi="Verdana"/>
        </w:rPr>
        <w:t>As part of this policy agenda, the Councils consider that g</w:t>
      </w:r>
      <w:r w:rsidR="009A202D">
        <w:rPr>
          <w:rFonts w:ascii="Verdana" w:hAnsi="Verdana"/>
        </w:rPr>
        <w:t xml:space="preserve">reater use </w:t>
      </w:r>
      <w:r>
        <w:rPr>
          <w:rFonts w:ascii="Verdana" w:hAnsi="Verdana"/>
        </w:rPr>
        <w:t xml:space="preserve">could be made of Demoted Tenancies </w:t>
      </w:r>
      <w:r w:rsidR="009A202D">
        <w:rPr>
          <w:rFonts w:ascii="Verdana" w:hAnsi="Verdana"/>
        </w:rPr>
        <w:t>instead of eviction</w:t>
      </w:r>
      <w:r w:rsidR="006161CB">
        <w:rPr>
          <w:rFonts w:ascii="Verdana" w:hAnsi="Verdana"/>
        </w:rPr>
        <w:t xml:space="preserve"> and </w:t>
      </w:r>
      <w:r w:rsidR="00744066">
        <w:rPr>
          <w:rFonts w:ascii="Verdana" w:hAnsi="Verdana"/>
        </w:rPr>
        <w:t xml:space="preserve">they </w:t>
      </w:r>
      <w:r w:rsidR="006161CB">
        <w:rPr>
          <w:rFonts w:ascii="Verdana" w:hAnsi="Verdana"/>
        </w:rPr>
        <w:t xml:space="preserve">are supportive of their use in appropriate circumstances </w:t>
      </w:r>
      <w:bookmarkEnd w:id="9"/>
      <w:r w:rsidR="006161CB">
        <w:rPr>
          <w:rFonts w:ascii="Verdana" w:hAnsi="Verdana"/>
        </w:rPr>
        <w:t>in the Designated Area</w:t>
      </w:r>
      <w:r w:rsidR="009A202D">
        <w:rPr>
          <w:rFonts w:ascii="Verdana" w:hAnsi="Verdana"/>
        </w:rPr>
        <w:t>.</w:t>
      </w:r>
      <w:r>
        <w:rPr>
          <w:rFonts w:ascii="Verdana" w:hAnsi="Verdana"/>
        </w:rPr>
        <w:t xml:space="preserve"> Matters that they would expect to be taken into consideration in deciding whether to seek a Demoted Tenancy are:</w:t>
      </w:r>
      <w:r w:rsidR="009A202D">
        <w:rPr>
          <w:rFonts w:ascii="Verdana" w:hAnsi="Verdana"/>
        </w:rPr>
        <w:t xml:space="preserve"> </w:t>
      </w:r>
    </w:p>
    <w:p w14:paraId="095D317A" w14:textId="77777777" w:rsidR="009A202D" w:rsidRDefault="009A202D" w:rsidP="001E4679">
      <w:pPr>
        <w:rPr>
          <w:rFonts w:ascii="Verdana" w:hAnsi="Verdana"/>
        </w:rPr>
      </w:pPr>
    </w:p>
    <w:p w14:paraId="573FDC20" w14:textId="74E38EF0" w:rsidR="009A202D" w:rsidRPr="00B90434" w:rsidRDefault="00B90434" w:rsidP="00B90434">
      <w:pPr>
        <w:pStyle w:val="ListParagraph"/>
        <w:numPr>
          <w:ilvl w:val="0"/>
          <w:numId w:val="38"/>
        </w:numPr>
        <w:rPr>
          <w:rFonts w:ascii="Verdana" w:hAnsi="Verdana"/>
        </w:rPr>
      </w:pPr>
      <w:r w:rsidRPr="00B90434">
        <w:rPr>
          <w:rFonts w:ascii="Verdana" w:hAnsi="Verdana"/>
        </w:rPr>
        <w:t>A t</w:t>
      </w:r>
      <w:r w:rsidR="009A202D" w:rsidRPr="00B90434">
        <w:rPr>
          <w:rFonts w:ascii="Verdana" w:hAnsi="Verdana"/>
        </w:rPr>
        <w:t xml:space="preserve">horough </w:t>
      </w:r>
      <w:r w:rsidR="001C1477">
        <w:rPr>
          <w:rFonts w:ascii="Verdana" w:hAnsi="Verdana"/>
        </w:rPr>
        <w:t>assessment</w:t>
      </w:r>
      <w:r w:rsidR="009A202D" w:rsidRPr="00B90434">
        <w:rPr>
          <w:rFonts w:ascii="Verdana" w:hAnsi="Verdana"/>
        </w:rPr>
        <w:t xml:space="preserve"> of the likelihood that the household’s situation will substantially improve over a </w:t>
      </w:r>
      <w:r w:rsidR="00363FD0" w:rsidRPr="00B90434">
        <w:rPr>
          <w:rFonts w:ascii="Verdana" w:hAnsi="Verdana"/>
        </w:rPr>
        <w:t>12-month</w:t>
      </w:r>
      <w:r w:rsidR="009A202D" w:rsidRPr="00B90434">
        <w:rPr>
          <w:rFonts w:ascii="Verdana" w:hAnsi="Verdana"/>
        </w:rPr>
        <w:t xml:space="preserve"> period.</w:t>
      </w:r>
    </w:p>
    <w:p w14:paraId="47ECAA6A" w14:textId="782451AD" w:rsidR="001C1477" w:rsidRDefault="00D87250" w:rsidP="00B90434">
      <w:pPr>
        <w:pStyle w:val="ListParagraph"/>
        <w:numPr>
          <w:ilvl w:val="0"/>
          <w:numId w:val="38"/>
        </w:numPr>
        <w:rPr>
          <w:rFonts w:ascii="Verdana" w:hAnsi="Verdana"/>
        </w:rPr>
      </w:pPr>
      <w:r w:rsidRPr="00D87250">
        <w:rPr>
          <w:rFonts w:ascii="Verdana" w:hAnsi="Verdana"/>
        </w:rPr>
        <w:t>T</w:t>
      </w:r>
      <w:r w:rsidR="009A202D" w:rsidRPr="00D87250">
        <w:rPr>
          <w:rFonts w:ascii="Verdana" w:hAnsi="Verdana"/>
        </w:rPr>
        <w:t>he</w:t>
      </w:r>
      <w:r w:rsidRPr="00D87250">
        <w:rPr>
          <w:rFonts w:ascii="Verdana" w:hAnsi="Verdana"/>
        </w:rPr>
        <w:t xml:space="preserve"> views of</w:t>
      </w:r>
      <w:r w:rsidR="009A202D" w:rsidRPr="00D87250">
        <w:rPr>
          <w:rFonts w:ascii="Verdana" w:hAnsi="Verdana"/>
        </w:rPr>
        <w:t xml:space="preserve"> local </w:t>
      </w:r>
      <w:r w:rsidR="006161CB" w:rsidRPr="00D87250">
        <w:rPr>
          <w:rFonts w:ascii="Verdana" w:hAnsi="Verdana"/>
        </w:rPr>
        <w:t xml:space="preserve">statutory and/or voluntary sector </w:t>
      </w:r>
      <w:r w:rsidRPr="00D87250">
        <w:rPr>
          <w:rFonts w:ascii="Verdana" w:hAnsi="Verdana"/>
        </w:rPr>
        <w:t xml:space="preserve">agencies </w:t>
      </w:r>
      <w:r w:rsidR="009A202D" w:rsidRPr="00D87250">
        <w:rPr>
          <w:rFonts w:ascii="Verdana" w:hAnsi="Verdana"/>
        </w:rPr>
        <w:t xml:space="preserve">as to the nature of any support that the family might be able to access if allowed to remain in their home under a </w:t>
      </w:r>
      <w:r w:rsidR="00B90434" w:rsidRPr="00D87250">
        <w:rPr>
          <w:rFonts w:ascii="Verdana" w:hAnsi="Verdana"/>
        </w:rPr>
        <w:t>D</w:t>
      </w:r>
      <w:r w:rsidR="009A202D" w:rsidRPr="00D87250">
        <w:rPr>
          <w:rFonts w:ascii="Verdana" w:hAnsi="Verdana"/>
        </w:rPr>
        <w:t xml:space="preserve">emoted </w:t>
      </w:r>
      <w:r w:rsidR="00B90434" w:rsidRPr="00D87250">
        <w:rPr>
          <w:rFonts w:ascii="Verdana" w:hAnsi="Verdana"/>
        </w:rPr>
        <w:t>T</w:t>
      </w:r>
      <w:r w:rsidR="009A202D" w:rsidRPr="00D87250">
        <w:rPr>
          <w:rFonts w:ascii="Verdana" w:hAnsi="Verdana"/>
        </w:rPr>
        <w:t>enancy</w:t>
      </w:r>
      <w:r w:rsidR="001C1477" w:rsidRPr="00D87250">
        <w:rPr>
          <w:rFonts w:ascii="Verdana" w:hAnsi="Verdana"/>
        </w:rPr>
        <w:t xml:space="preserve"> including, but not limited to, advisory, practical, financial, health </w:t>
      </w:r>
      <w:r w:rsidR="006161CB" w:rsidRPr="00D87250">
        <w:rPr>
          <w:rFonts w:ascii="Verdana" w:hAnsi="Verdana"/>
        </w:rPr>
        <w:t>and</w:t>
      </w:r>
      <w:r w:rsidR="001C1477" w:rsidRPr="00D87250">
        <w:rPr>
          <w:rFonts w:ascii="Verdana" w:hAnsi="Verdana"/>
        </w:rPr>
        <w:t xml:space="preserve"> social support</w:t>
      </w:r>
      <w:r w:rsidR="009A202D" w:rsidRPr="00D87250">
        <w:rPr>
          <w:rFonts w:ascii="Verdana" w:hAnsi="Verdana"/>
        </w:rPr>
        <w:t>.</w:t>
      </w:r>
      <w:r w:rsidRPr="00D87250">
        <w:rPr>
          <w:rFonts w:ascii="Verdana" w:hAnsi="Verdana"/>
        </w:rPr>
        <w:t xml:space="preserve"> </w:t>
      </w:r>
      <w:r w:rsidR="001C1477" w:rsidRPr="00D87250">
        <w:rPr>
          <w:rFonts w:ascii="Verdana" w:hAnsi="Verdana"/>
        </w:rPr>
        <w:t xml:space="preserve">Any specific </w:t>
      </w:r>
      <w:r w:rsidR="001C1477" w:rsidRPr="00D87250">
        <w:rPr>
          <w:rFonts w:ascii="Verdana" w:hAnsi="Verdana"/>
        </w:rPr>
        <w:lastRenderedPageBreak/>
        <w:t xml:space="preserve">commitments to </w:t>
      </w:r>
      <w:r w:rsidR="006161CB" w:rsidRPr="00D87250">
        <w:rPr>
          <w:rFonts w:ascii="Verdana" w:hAnsi="Verdana"/>
        </w:rPr>
        <w:t xml:space="preserve">provide such </w:t>
      </w:r>
      <w:r w:rsidR="001C1477" w:rsidRPr="00D87250">
        <w:rPr>
          <w:rFonts w:ascii="Verdana" w:hAnsi="Verdana"/>
        </w:rPr>
        <w:t xml:space="preserve">support </w:t>
      </w:r>
      <w:r w:rsidR="006161CB" w:rsidRPr="00D87250">
        <w:rPr>
          <w:rFonts w:ascii="Verdana" w:hAnsi="Verdana"/>
        </w:rPr>
        <w:t xml:space="preserve">to </w:t>
      </w:r>
      <w:r w:rsidR="001C1477" w:rsidRPr="00D87250">
        <w:rPr>
          <w:rFonts w:ascii="Verdana" w:hAnsi="Verdana"/>
        </w:rPr>
        <w:t xml:space="preserve">the household over the </w:t>
      </w:r>
      <w:r w:rsidR="00363FD0" w:rsidRPr="00D87250">
        <w:rPr>
          <w:rFonts w:ascii="Verdana" w:hAnsi="Verdana"/>
        </w:rPr>
        <w:t>12-month</w:t>
      </w:r>
      <w:r w:rsidR="001C1477" w:rsidRPr="00D87250">
        <w:rPr>
          <w:rFonts w:ascii="Verdana" w:hAnsi="Verdana"/>
        </w:rPr>
        <w:t xml:space="preserve"> period</w:t>
      </w:r>
      <w:r w:rsidR="006161CB" w:rsidRPr="00D87250">
        <w:rPr>
          <w:rFonts w:ascii="Verdana" w:hAnsi="Verdana"/>
        </w:rPr>
        <w:t xml:space="preserve"> should weigh materially in favour of a demoted tenancy</w:t>
      </w:r>
      <w:r>
        <w:rPr>
          <w:rFonts w:ascii="Verdana" w:hAnsi="Verdana"/>
        </w:rPr>
        <w:t>.</w:t>
      </w:r>
    </w:p>
    <w:p w14:paraId="5D5288D6" w14:textId="76467FA8" w:rsidR="00D87250" w:rsidRDefault="00D87250" w:rsidP="00B90434">
      <w:pPr>
        <w:pStyle w:val="ListParagraph"/>
        <w:numPr>
          <w:ilvl w:val="0"/>
          <w:numId w:val="38"/>
        </w:numPr>
        <w:rPr>
          <w:rFonts w:ascii="Verdana" w:hAnsi="Verdana"/>
        </w:rPr>
      </w:pPr>
      <w:r>
        <w:rPr>
          <w:rFonts w:ascii="Verdana" w:hAnsi="Verdana"/>
        </w:rPr>
        <w:t xml:space="preserve">The views of the local Housing Options Team should be sought as to whether, in that </w:t>
      </w:r>
      <w:proofErr w:type="gramStart"/>
      <w:r>
        <w:rPr>
          <w:rFonts w:ascii="Verdana" w:hAnsi="Verdana"/>
        </w:rPr>
        <w:t>particular case</w:t>
      </w:r>
      <w:proofErr w:type="gramEnd"/>
      <w:r>
        <w:rPr>
          <w:rFonts w:ascii="Verdana" w:hAnsi="Verdana"/>
        </w:rPr>
        <w:t>, the Demoted Tenancy approach is appropriate from a homelessness prevention perspective. The Housing Options Team may be able to reinforce the seriousness of the situation and the importance of behavioural change by the tenant during the period of the Demoted Tenancy by including actions in the Personalised Housing Plan.</w:t>
      </w:r>
    </w:p>
    <w:p w14:paraId="42585BE6" w14:textId="77777777" w:rsidR="00D87250" w:rsidRDefault="00D87250" w:rsidP="00D87250">
      <w:pPr>
        <w:rPr>
          <w:rFonts w:ascii="Verdana" w:hAnsi="Verdana"/>
        </w:rPr>
      </w:pPr>
    </w:p>
    <w:p w14:paraId="52CA5E72" w14:textId="0C5B3B0C" w:rsidR="00D87250" w:rsidRPr="00D87250" w:rsidRDefault="00D87250" w:rsidP="00D87250">
      <w:pPr>
        <w:rPr>
          <w:rFonts w:ascii="Verdana" w:hAnsi="Verdana"/>
        </w:rPr>
      </w:pPr>
      <w:r w:rsidRPr="00D87250">
        <w:rPr>
          <w:rFonts w:ascii="Verdana" w:hAnsi="Verdana"/>
        </w:rPr>
        <w:t xml:space="preserve">Social Landlords will need to ensure that </w:t>
      </w:r>
      <w:r w:rsidR="00302F4F">
        <w:rPr>
          <w:rFonts w:ascii="Verdana" w:hAnsi="Verdana"/>
        </w:rPr>
        <w:t>any necessary</w:t>
      </w:r>
      <w:r w:rsidRPr="00D87250">
        <w:rPr>
          <w:rFonts w:ascii="Verdana" w:hAnsi="Verdana"/>
        </w:rPr>
        <w:t xml:space="preserve"> data protection consents have been obtained </w:t>
      </w:r>
      <w:r>
        <w:rPr>
          <w:rFonts w:ascii="Verdana" w:hAnsi="Verdana"/>
        </w:rPr>
        <w:t>from the tenant before engaging in conversations with the various agencies.</w:t>
      </w:r>
    </w:p>
    <w:p w14:paraId="389617BA" w14:textId="77777777" w:rsidR="00507EEA" w:rsidRDefault="00507EEA" w:rsidP="001E4679">
      <w:pPr>
        <w:rPr>
          <w:rFonts w:ascii="Verdana" w:hAnsi="Verdana"/>
          <w:b/>
        </w:rPr>
      </w:pPr>
    </w:p>
    <w:p w14:paraId="71190C04" w14:textId="4B24D94E" w:rsidR="001E4679" w:rsidRDefault="00B0362D" w:rsidP="001E4679">
      <w:pPr>
        <w:rPr>
          <w:rFonts w:ascii="Verdana" w:hAnsi="Verdana"/>
          <w:b/>
        </w:rPr>
      </w:pPr>
      <w:r>
        <w:rPr>
          <w:rFonts w:ascii="Verdana" w:hAnsi="Verdana"/>
          <w:b/>
        </w:rPr>
        <w:t>5</w:t>
      </w:r>
      <w:r w:rsidR="001E4679" w:rsidRPr="00947FEF">
        <w:rPr>
          <w:rFonts w:ascii="Verdana" w:hAnsi="Verdana"/>
          <w:b/>
        </w:rPr>
        <w:t>.</w:t>
      </w:r>
      <w:r w:rsidR="00B45273">
        <w:rPr>
          <w:rFonts w:ascii="Verdana" w:hAnsi="Verdana"/>
          <w:b/>
        </w:rPr>
        <w:t>4</w:t>
      </w:r>
      <w:r w:rsidR="001E4679" w:rsidRPr="00947FEF">
        <w:rPr>
          <w:rFonts w:ascii="Verdana" w:hAnsi="Verdana"/>
          <w:b/>
        </w:rPr>
        <w:tab/>
        <w:t>Family Intervention Tenancies</w:t>
      </w:r>
    </w:p>
    <w:p w14:paraId="3A5F2176" w14:textId="77777777" w:rsidR="00371724" w:rsidRPr="00947FEF" w:rsidRDefault="00371724" w:rsidP="001E4679">
      <w:pPr>
        <w:rPr>
          <w:rFonts w:ascii="Verdana" w:hAnsi="Verdana"/>
          <w:b/>
        </w:rPr>
      </w:pPr>
    </w:p>
    <w:p w14:paraId="68EEE04C" w14:textId="5291D7D1" w:rsidR="00E35785" w:rsidRPr="00E35785" w:rsidRDefault="00E35785" w:rsidP="00E35785">
      <w:pPr>
        <w:rPr>
          <w:rFonts w:ascii="Verdana" w:hAnsi="Verdana"/>
        </w:rPr>
      </w:pPr>
      <w:r w:rsidRPr="00E35785">
        <w:rPr>
          <w:rFonts w:ascii="Verdana" w:hAnsi="Verdana"/>
        </w:rPr>
        <w:t xml:space="preserve">The Housing and Regeneration Act 2008 introduced Family Intervention Tenancies, which may be used by Social Landlords. These tenancies can be offered to an existing tenant of another property against whom a possession order has been made, or </w:t>
      </w:r>
      <w:r w:rsidR="006F6FBC">
        <w:rPr>
          <w:rFonts w:ascii="Verdana" w:hAnsi="Verdana"/>
        </w:rPr>
        <w:t xml:space="preserve">against </w:t>
      </w:r>
      <w:r w:rsidRPr="00E35785">
        <w:rPr>
          <w:rFonts w:ascii="Verdana" w:hAnsi="Verdana"/>
        </w:rPr>
        <w:t>who</w:t>
      </w:r>
      <w:r w:rsidR="006F6FBC">
        <w:rPr>
          <w:rFonts w:ascii="Verdana" w:hAnsi="Verdana"/>
        </w:rPr>
        <w:t>m</w:t>
      </w:r>
      <w:r w:rsidRPr="00E35785">
        <w:rPr>
          <w:rFonts w:ascii="Verdana" w:hAnsi="Verdana"/>
        </w:rPr>
        <w:t xml:space="preserve"> the </w:t>
      </w:r>
      <w:r w:rsidR="006F6FBC">
        <w:rPr>
          <w:rFonts w:ascii="Verdana" w:hAnsi="Verdana"/>
        </w:rPr>
        <w:t>Social L</w:t>
      </w:r>
      <w:r w:rsidRPr="00E35785">
        <w:rPr>
          <w:rFonts w:ascii="Verdana" w:hAnsi="Verdana"/>
        </w:rPr>
        <w:t xml:space="preserve">andlord believes a possession order could be </w:t>
      </w:r>
      <w:r w:rsidR="00363FD0" w:rsidRPr="00E35785">
        <w:rPr>
          <w:rFonts w:ascii="Verdana" w:hAnsi="Verdana"/>
        </w:rPr>
        <w:t>made.</w:t>
      </w:r>
      <w:r w:rsidRPr="00E35785">
        <w:rPr>
          <w:rFonts w:ascii="Verdana" w:hAnsi="Verdana"/>
        </w:rPr>
        <w:t xml:space="preserve"> These tenancies have very limited security of tenure and are only intended to be used as part of a package of behavioural support services for the family concerned.</w:t>
      </w:r>
    </w:p>
    <w:p w14:paraId="2F1FC4B6" w14:textId="77777777" w:rsidR="00E35785" w:rsidRDefault="00E35785" w:rsidP="0024648D">
      <w:pPr>
        <w:rPr>
          <w:rFonts w:ascii="Verdana" w:hAnsi="Verdana"/>
        </w:rPr>
      </w:pPr>
    </w:p>
    <w:p w14:paraId="70CA52AE" w14:textId="77777777" w:rsidR="001E4679" w:rsidRDefault="00302F4F" w:rsidP="0024648D">
      <w:pPr>
        <w:rPr>
          <w:rFonts w:ascii="Verdana" w:hAnsi="Verdana"/>
        </w:rPr>
      </w:pPr>
      <w:r>
        <w:rPr>
          <w:rFonts w:ascii="Verdana" w:hAnsi="Verdana"/>
        </w:rPr>
        <w:t>The Councils r</w:t>
      </w:r>
      <w:r w:rsidR="008F48B1" w:rsidRPr="008F48B1">
        <w:rPr>
          <w:rFonts w:ascii="Verdana" w:hAnsi="Verdana"/>
        </w:rPr>
        <w:t>ecognise</w:t>
      </w:r>
      <w:r>
        <w:rPr>
          <w:rFonts w:ascii="Verdana" w:hAnsi="Verdana"/>
        </w:rPr>
        <w:t xml:space="preserve"> that Family Intervention Tenancies are</w:t>
      </w:r>
      <w:r w:rsidR="008F48B1" w:rsidRPr="008F48B1">
        <w:rPr>
          <w:rFonts w:ascii="Verdana" w:hAnsi="Verdana"/>
        </w:rPr>
        <w:t xml:space="preserve"> a potentially important tool i</w:t>
      </w:r>
      <w:r w:rsidR="00C2476D">
        <w:rPr>
          <w:rFonts w:ascii="Verdana" w:hAnsi="Verdana"/>
        </w:rPr>
        <w:t>n</w:t>
      </w:r>
      <w:r w:rsidR="008F48B1" w:rsidRPr="008F48B1">
        <w:rPr>
          <w:rFonts w:ascii="Verdana" w:hAnsi="Verdana"/>
        </w:rPr>
        <w:t xml:space="preserve"> </w:t>
      </w:r>
      <w:r>
        <w:rPr>
          <w:rFonts w:ascii="Verdana" w:hAnsi="Verdana"/>
        </w:rPr>
        <w:t xml:space="preserve">dealing with </w:t>
      </w:r>
      <w:r w:rsidR="008F48B1" w:rsidRPr="008F48B1">
        <w:rPr>
          <w:rFonts w:ascii="Verdana" w:hAnsi="Verdana"/>
        </w:rPr>
        <w:t>a very small number of particularly troubled families</w:t>
      </w:r>
      <w:r w:rsidR="008F48B1">
        <w:rPr>
          <w:rFonts w:ascii="Verdana" w:hAnsi="Verdana"/>
        </w:rPr>
        <w:t>.</w:t>
      </w:r>
    </w:p>
    <w:p w14:paraId="1CD2D1E0" w14:textId="77777777" w:rsidR="008F48B1" w:rsidRPr="008F48B1" w:rsidRDefault="008F48B1" w:rsidP="0024648D">
      <w:pPr>
        <w:rPr>
          <w:rFonts w:ascii="Verdana" w:hAnsi="Verdana"/>
        </w:rPr>
      </w:pPr>
    </w:p>
    <w:p w14:paraId="5ECA512B" w14:textId="77777777" w:rsidR="00302F4F" w:rsidRDefault="00302F4F" w:rsidP="008F48B1">
      <w:pPr>
        <w:rPr>
          <w:rFonts w:ascii="Verdana" w:hAnsi="Verdana"/>
        </w:rPr>
      </w:pPr>
      <w:r>
        <w:rPr>
          <w:rFonts w:ascii="Verdana" w:hAnsi="Verdana"/>
        </w:rPr>
        <w:t>Central government administers the Troubled Families Programme, which</w:t>
      </w:r>
      <w:r w:rsidRPr="00302F4F">
        <w:rPr>
          <w:rFonts w:ascii="Verdana" w:hAnsi="Verdana"/>
        </w:rPr>
        <w:t xml:space="preserve"> </w:t>
      </w:r>
      <w:r>
        <w:rPr>
          <w:rFonts w:ascii="Verdana" w:hAnsi="Verdana"/>
        </w:rPr>
        <w:t>“</w:t>
      </w:r>
      <w:r w:rsidRPr="00302F4F">
        <w:rPr>
          <w:rFonts w:ascii="Verdana" w:hAnsi="Verdana"/>
        </w:rPr>
        <w:t>conducts targeted interventions for families experiencing multiple problems, including crime, anti-social behaviour, truancy, unemployment, mental health problems and domestic abuse</w:t>
      </w:r>
      <w:r>
        <w:rPr>
          <w:rFonts w:ascii="Verdana" w:hAnsi="Verdana"/>
        </w:rPr>
        <w:t>”</w:t>
      </w:r>
      <w:r w:rsidRPr="00302F4F">
        <w:rPr>
          <w:rFonts w:ascii="Verdana" w:hAnsi="Verdana"/>
        </w:rPr>
        <w:t>.</w:t>
      </w:r>
    </w:p>
    <w:p w14:paraId="1298D3D0" w14:textId="77777777" w:rsidR="00302F4F" w:rsidRDefault="00302F4F" w:rsidP="008F48B1">
      <w:pPr>
        <w:rPr>
          <w:rFonts w:ascii="Verdana" w:hAnsi="Verdana"/>
        </w:rPr>
      </w:pPr>
    </w:p>
    <w:p w14:paraId="0C028957" w14:textId="5FD324BC" w:rsidR="008F48B1" w:rsidRDefault="00302F4F" w:rsidP="008F48B1">
      <w:pPr>
        <w:rPr>
          <w:rFonts w:ascii="Verdana" w:hAnsi="Verdana"/>
        </w:rPr>
      </w:pPr>
      <w:r>
        <w:rPr>
          <w:rFonts w:ascii="Verdana" w:hAnsi="Verdana"/>
        </w:rPr>
        <w:t>Family Intervention Tenancies have a role to play in the programme but also, as</w:t>
      </w:r>
      <w:r w:rsidR="008F48B1" w:rsidRPr="008F48B1">
        <w:rPr>
          <w:rFonts w:ascii="Verdana" w:hAnsi="Verdana"/>
        </w:rPr>
        <w:t xml:space="preserve"> with </w:t>
      </w:r>
      <w:r>
        <w:rPr>
          <w:rFonts w:ascii="Verdana" w:hAnsi="Verdana"/>
        </w:rPr>
        <w:t>D</w:t>
      </w:r>
      <w:r w:rsidR="008F48B1" w:rsidRPr="008F48B1">
        <w:rPr>
          <w:rFonts w:ascii="Verdana" w:hAnsi="Verdana"/>
        </w:rPr>
        <w:t xml:space="preserve">emoted </w:t>
      </w:r>
      <w:r>
        <w:rPr>
          <w:rFonts w:ascii="Verdana" w:hAnsi="Verdana"/>
        </w:rPr>
        <w:t>T</w:t>
      </w:r>
      <w:r w:rsidR="008F48B1" w:rsidRPr="008F48B1">
        <w:rPr>
          <w:rFonts w:ascii="Verdana" w:hAnsi="Verdana"/>
        </w:rPr>
        <w:t xml:space="preserve">enancies, greater use </w:t>
      </w:r>
      <w:r>
        <w:rPr>
          <w:rFonts w:ascii="Verdana" w:hAnsi="Verdana"/>
        </w:rPr>
        <w:t>of Family Intervention Tenancies instead of eviction supports the</w:t>
      </w:r>
      <w:r w:rsidR="008F48B1" w:rsidRPr="008F48B1">
        <w:rPr>
          <w:rFonts w:ascii="Verdana" w:hAnsi="Verdana"/>
        </w:rPr>
        <w:t xml:space="preserve"> </w:t>
      </w:r>
      <w:r w:rsidR="00194576">
        <w:rPr>
          <w:rFonts w:ascii="Verdana" w:hAnsi="Verdana"/>
        </w:rPr>
        <w:t xml:space="preserve">Councils’ </w:t>
      </w:r>
      <w:r w:rsidR="008F48B1" w:rsidRPr="008F48B1">
        <w:rPr>
          <w:rFonts w:ascii="Verdana" w:hAnsi="Verdana"/>
        </w:rPr>
        <w:t xml:space="preserve">homelessness prevention agenda. </w:t>
      </w:r>
    </w:p>
    <w:p w14:paraId="585B799D" w14:textId="77777777" w:rsidR="00C2476D" w:rsidRDefault="00C2476D" w:rsidP="008F48B1">
      <w:pPr>
        <w:rPr>
          <w:rFonts w:ascii="Verdana" w:hAnsi="Verdana"/>
        </w:rPr>
      </w:pPr>
    </w:p>
    <w:p w14:paraId="48555FEA" w14:textId="77777777" w:rsidR="00C2476D" w:rsidRDefault="008F7C18" w:rsidP="00C2476D">
      <w:pPr>
        <w:rPr>
          <w:rFonts w:ascii="Verdana" w:hAnsi="Verdana"/>
        </w:rPr>
      </w:pPr>
      <w:r>
        <w:rPr>
          <w:rFonts w:ascii="Verdana" w:hAnsi="Verdana"/>
        </w:rPr>
        <w:t>The following matters should be taking into consideration in deciding whether to pursue the Family Intervention Tenancy route:</w:t>
      </w:r>
    </w:p>
    <w:p w14:paraId="30E266F0" w14:textId="77777777" w:rsidR="00B0362D" w:rsidRPr="00C2476D" w:rsidRDefault="00B0362D" w:rsidP="00C2476D">
      <w:pPr>
        <w:rPr>
          <w:rFonts w:ascii="Verdana" w:hAnsi="Verdana"/>
        </w:rPr>
      </w:pPr>
    </w:p>
    <w:p w14:paraId="0E4D72B8" w14:textId="77777777" w:rsidR="008F7C18" w:rsidRDefault="008F7C18" w:rsidP="00C2476D">
      <w:pPr>
        <w:pStyle w:val="ListParagraph"/>
        <w:numPr>
          <w:ilvl w:val="0"/>
          <w:numId w:val="37"/>
        </w:numPr>
        <w:rPr>
          <w:rFonts w:ascii="Verdana" w:hAnsi="Verdana"/>
        </w:rPr>
      </w:pPr>
      <w:r>
        <w:rPr>
          <w:rFonts w:ascii="Verdana" w:hAnsi="Verdana"/>
        </w:rPr>
        <w:t xml:space="preserve">The views of the team at Warwickshire County Council that is administering the Troubled Families Programme at the time should carry significant weight. </w:t>
      </w:r>
    </w:p>
    <w:p w14:paraId="4C36C719" w14:textId="7ECDCD40" w:rsidR="008F7C18" w:rsidRDefault="008F7C18" w:rsidP="008F7C18">
      <w:pPr>
        <w:pStyle w:val="ListParagraph"/>
        <w:numPr>
          <w:ilvl w:val="0"/>
          <w:numId w:val="37"/>
        </w:numPr>
        <w:rPr>
          <w:rFonts w:ascii="Verdana" w:hAnsi="Verdana"/>
        </w:rPr>
      </w:pPr>
      <w:r>
        <w:rPr>
          <w:rFonts w:ascii="Verdana" w:hAnsi="Verdana"/>
        </w:rPr>
        <w:t xml:space="preserve">The availability of appropriate alternative accommodation in which to provide the tenancy is critical. The </w:t>
      </w:r>
      <w:r w:rsidR="007B6307">
        <w:rPr>
          <w:rFonts w:ascii="Verdana" w:hAnsi="Verdana"/>
        </w:rPr>
        <w:t>Social L</w:t>
      </w:r>
      <w:r>
        <w:rPr>
          <w:rFonts w:ascii="Verdana" w:hAnsi="Verdana"/>
        </w:rPr>
        <w:t xml:space="preserve">andlord should first look to their own stock. If the </w:t>
      </w:r>
      <w:r w:rsidR="007B6307">
        <w:rPr>
          <w:rFonts w:ascii="Verdana" w:hAnsi="Verdana"/>
        </w:rPr>
        <w:t>Social L</w:t>
      </w:r>
      <w:r>
        <w:rPr>
          <w:rFonts w:ascii="Verdana" w:hAnsi="Verdana"/>
        </w:rPr>
        <w:t xml:space="preserve">andlord is unable to access a suitable </w:t>
      </w:r>
      <w:r w:rsidR="00363FD0">
        <w:rPr>
          <w:rFonts w:ascii="Verdana" w:hAnsi="Verdana"/>
        </w:rPr>
        <w:t>property,</w:t>
      </w:r>
      <w:r>
        <w:rPr>
          <w:rFonts w:ascii="Verdana" w:hAnsi="Verdana"/>
        </w:rPr>
        <w:t xml:space="preserve"> then the local Housing Options Team should be approached to see if accommodation with another Social Landlord can be procured. </w:t>
      </w:r>
    </w:p>
    <w:p w14:paraId="6C80E425" w14:textId="77777777" w:rsidR="00C2476D" w:rsidRDefault="008F7C18" w:rsidP="00C2476D">
      <w:pPr>
        <w:pStyle w:val="ListParagraph"/>
        <w:numPr>
          <w:ilvl w:val="0"/>
          <w:numId w:val="37"/>
        </w:numPr>
        <w:rPr>
          <w:rFonts w:ascii="Verdana" w:hAnsi="Verdana"/>
        </w:rPr>
      </w:pPr>
      <w:r>
        <w:rPr>
          <w:rFonts w:ascii="Verdana" w:hAnsi="Verdana"/>
        </w:rPr>
        <w:t>A c</w:t>
      </w:r>
      <w:r w:rsidR="00C2476D" w:rsidRPr="00C2476D">
        <w:rPr>
          <w:rFonts w:ascii="Verdana" w:hAnsi="Verdana"/>
        </w:rPr>
        <w:t>omprehensive behaviour</w:t>
      </w:r>
      <w:r>
        <w:rPr>
          <w:rFonts w:ascii="Verdana" w:hAnsi="Verdana"/>
        </w:rPr>
        <w:t>al</w:t>
      </w:r>
      <w:r w:rsidR="00C2476D" w:rsidRPr="00C2476D">
        <w:rPr>
          <w:rFonts w:ascii="Verdana" w:hAnsi="Verdana"/>
        </w:rPr>
        <w:t xml:space="preserve"> support package</w:t>
      </w:r>
      <w:r>
        <w:rPr>
          <w:rFonts w:ascii="Verdana" w:hAnsi="Verdana"/>
        </w:rPr>
        <w:t xml:space="preserve"> </w:t>
      </w:r>
      <w:r w:rsidR="007B4932">
        <w:rPr>
          <w:rFonts w:ascii="Verdana" w:hAnsi="Verdana"/>
        </w:rPr>
        <w:t>should</w:t>
      </w:r>
      <w:r>
        <w:rPr>
          <w:rFonts w:ascii="Verdana" w:hAnsi="Verdana"/>
        </w:rPr>
        <w:t xml:space="preserve"> be</w:t>
      </w:r>
      <w:r w:rsidR="00C2476D" w:rsidRPr="00C2476D">
        <w:rPr>
          <w:rFonts w:ascii="Verdana" w:hAnsi="Verdana"/>
        </w:rPr>
        <w:t xml:space="preserve"> </w:t>
      </w:r>
      <w:r>
        <w:rPr>
          <w:rFonts w:ascii="Verdana" w:hAnsi="Verdana"/>
        </w:rPr>
        <w:t>committed to</w:t>
      </w:r>
      <w:r w:rsidR="007B4932">
        <w:rPr>
          <w:rFonts w:ascii="Verdana" w:hAnsi="Verdana"/>
        </w:rPr>
        <w:t>,</w:t>
      </w:r>
      <w:r>
        <w:rPr>
          <w:rFonts w:ascii="Verdana" w:hAnsi="Verdana"/>
        </w:rPr>
        <w:t xml:space="preserve"> and agreed </w:t>
      </w:r>
      <w:r w:rsidR="007B4932">
        <w:rPr>
          <w:rFonts w:ascii="Verdana" w:hAnsi="Verdana"/>
        </w:rPr>
        <w:t>with</w:t>
      </w:r>
      <w:r>
        <w:rPr>
          <w:rFonts w:ascii="Verdana" w:hAnsi="Verdana"/>
        </w:rPr>
        <w:t xml:space="preserve"> </w:t>
      </w:r>
      <w:proofErr w:type="gramStart"/>
      <w:r>
        <w:rPr>
          <w:rFonts w:ascii="Verdana" w:hAnsi="Verdana"/>
        </w:rPr>
        <w:t>all of</w:t>
      </w:r>
      <w:proofErr w:type="gramEnd"/>
      <w:r>
        <w:rPr>
          <w:rFonts w:ascii="Verdana" w:hAnsi="Verdana"/>
        </w:rPr>
        <w:t xml:space="preserve"> the agencies </w:t>
      </w:r>
      <w:r w:rsidR="00C2476D" w:rsidRPr="00C2476D">
        <w:rPr>
          <w:rFonts w:ascii="Verdana" w:hAnsi="Verdana"/>
        </w:rPr>
        <w:t xml:space="preserve">in </w:t>
      </w:r>
      <w:r>
        <w:rPr>
          <w:rFonts w:ascii="Verdana" w:hAnsi="Verdana"/>
        </w:rPr>
        <w:t>advance of the tenancy start.</w:t>
      </w:r>
    </w:p>
    <w:p w14:paraId="27BD4605" w14:textId="77777777" w:rsidR="007B4932" w:rsidRDefault="007B4932" w:rsidP="00C2476D">
      <w:pPr>
        <w:pStyle w:val="ListParagraph"/>
        <w:numPr>
          <w:ilvl w:val="0"/>
          <w:numId w:val="37"/>
        </w:numPr>
        <w:rPr>
          <w:rFonts w:ascii="Verdana" w:hAnsi="Verdana"/>
        </w:rPr>
      </w:pPr>
      <w:r>
        <w:rPr>
          <w:rFonts w:ascii="Verdana" w:hAnsi="Verdana"/>
        </w:rPr>
        <w:lastRenderedPageBreak/>
        <w:t xml:space="preserve">An exit strategy should be agreed covering </w:t>
      </w:r>
      <w:proofErr w:type="gramStart"/>
      <w:r>
        <w:rPr>
          <w:rFonts w:ascii="Verdana" w:hAnsi="Verdana"/>
        </w:rPr>
        <w:t>all of</w:t>
      </w:r>
      <w:proofErr w:type="gramEnd"/>
      <w:r>
        <w:rPr>
          <w:rFonts w:ascii="Verdana" w:hAnsi="Verdana"/>
        </w:rPr>
        <w:t xml:space="preserve"> the potential trajectories of the tenancy. </w:t>
      </w:r>
    </w:p>
    <w:p w14:paraId="2333FAEB" w14:textId="77777777" w:rsidR="00C2476D" w:rsidRPr="00C2476D" w:rsidRDefault="00C2476D" w:rsidP="00C2476D">
      <w:pPr>
        <w:pStyle w:val="ListParagraph"/>
        <w:numPr>
          <w:ilvl w:val="0"/>
          <w:numId w:val="37"/>
        </w:numPr>
        <w:rPr>
          <w:rFonts w:ascii="Verdana" w:hAnsi="Verdana"/>
        </w:rPr>
      </w:pPr>
      <w:r>
        <w:rPr>
          <w:rFonts w:ascii="Verdana" w:hAnsi="Verdana"/>
        </w:rPr>
        <w:t xml:space="preserve">Clearly established monitoring arrangements and lines of communication </w:t>
      </w:r>
      <w:r w:rsidR="007B4932">
        <w:rPr>
          <w:rFonts w:ascii="Verdana" w:hAnsi="Verdana"/>
        </w:rPr>
        <w:t xml:space="preserve">should be established </w:t>
      </w:r>
      <w:r>
        <w:rPr>
          <w:rFonts w:ascii="Verdana" w:hAnsi="Verdana"/>
        </w:rPr>
        <w:t xml:space="preserve">with the </w:t>
      </w:r>
      <w:r w:rsidR="007B4932">
        <w:rPr>
          <w:rFonts w:ascii="Verdana" w:hAnsi="Verdana"/>
        </w:rPr>
        <w:t xml:space="preserve">local </w:t>
      </w:r>
      <w:r>
        <w:rPr>
          <w:rFonts w:ascii="Verdana" w:hAnsi="Verdana"/>
        </w:rPr>
        <w:t>Housing Options Team</w:t>
      </w:r>
      <w:r w:rsidR="007B4932">
        <w:rPr>
          <w:rFonts w:ascii="Verdana" w:hAnsi="Verdana"/>
        </w:rPr>
        <w:t xml:space="preserve"> to ensure that homelessness prevention is a consideration in any decisions taken</w:t>
      </w:r>
      <w:r>
        <w:rPr>
          <w:rFonts w:ascii="Verdana" w:hAnsi="Verdana"/>
        </w:rPr>
        <w:t>.</w:t>
      </w:r>
    </w:p>
    <w:p w14:paraId="1C2DDFB1" w14:textId="77777777" w:rsidR="001E4679" w:rsidRDefault="001E4679" w:rsidP="0024648D">
      <w:pPr>
        <w:rPr>
          <w:rFonts w:ascii="Verdana" w:hAnsi="Verdana"/>
          <w:b/>
        </w:rPr>
      </w:pPr>
    </w:p>
    <w:p w14:paraId="26EB465F" w14:textId="5536FDFE" w:rsidR="00947FEF" w:rsidRDefault="00B0362D" w:rsidP="00947FEF">
      <w:pPr>
        <w:rPr>
          <w:rFonts w:ascii="Verdana" w:hAnsi="Verdana"/>
          <w:b/>
        </w:rPr>
      </w:pPr>
      <w:r>
        <w:rPr>
          <w:rFonts w:ascii="Verdana" w:hAnsi="Verdana"/>
          <w:b/>
        </w:rPr>
        <w:t>5</w:t>
      </w:r>
      <w:r w:rsidR="0024648D" w:rsidRPr="00947FEF">
        <w:rPr>
          <w:rFonts w:ascii="Verdana" w:hAnsi="Verdana"/>
          <w:b/>
        </w:rPr>
        <w:t>.</w:t>
      </w:r>
      <w:r w:rsidR="001E4679">
        <w:rPr>
          <w:rFonts w:ascii="Verdana" w:hAnsi="Verdana"/>
          <w:b/>
        </w:rPr>
        <w:t>5</w:t>
      </w:r>
      <w:r w:rsidR="0024648D" w:rsidRPr="00947FEF">
        <w:rPr>
          <w:rFonts w:ascii="Verdana" w:hAnsi="Verdana"/>
          <w:b/>
        </w:rPr>
        <w:tab/>
      </w:r>
      <w:r w:rsidR="00947FEF" w:rsidRPr="00947FEF">
        <w:rPr>
          <w:rFonts w:ascii="Verdana" w:hAnsi="Verdana"/>
          <w:b/>
        </w:rPr>
        <w:t>Fixed</w:t>
      </w:r>
      <w:r w:rsidR="008F48B1">
        <w:rPr>
          <w:rFonts w:ascii="Verdana" w:hAnsi="Verdana"/>
          <w:b/>
        </w:rPr>
        <w:t xml:space="preserve"> </w:t>
      </w:r>
      <w:r w:rsidR="00947FEF" w:rsidRPr="00947FEF">
        <w:rPr>
          <w:rFonts w:ascii="Verdana" w:hAnsi="Verdana"/>
          <w:b/>
        </w:rPr>
        <w:t>Term Tenancies</w:t>
      </w:r>
    </w:p>
    <w:p w14:paraId="2969A5DD" w14:textId="77777777" w:rsidR="00371724" w:rsidRPr="00947FEF" w:rsidRDefault="00371724" w:rsidP="00947FEF">
      <w:pPr>
        <w:rPr>
          <w:rFonts w:ascii="Verdana" w:hAnsi="Verdana"/>
          <w:b/>
        </w:rPr>
      </w:pPr>
    </w:p>
    <w:p w14:paraId="1283A546" w14:textId="73E8D83F" w:rsidR="00947FEF" w:rsidRDefault="0066570B" w:rsidP="00947FEF">
      <w:pPr>
        <w:rPr>
          <w:rFonts w:ascii="Verdana" w:hAnsi="Verdana"/>
        </w:rPr>
      </w:pPr>
      <w:r>
        <w:rPr>
          <w:rFonts w:ascii="Verdana" w:hAnsi="Verdana"/>
        </w:rPr>
        <w:t>It is</w:t>
      </w:r>
      <w:r w:rsidR="00120E3D">
        <w:rPr>
          <w:rFonts w:ascii="Verdana" w:hAnsi="Verdana"/>
        </w:rPr>
        <w:t xml:space="preserve"> </w:t>
      </w:r>
      <w:r w:rsidR="004A6B56">
        <w:rPr>
          <w:rFonts w:ascii="Verdana" w:hAnsi="Verdana"/>
        </w:rPr>
        <w:t>recognis</w:t>
      </w:r>
      <w:r w:rsidR="00120E3D">
        <w:rPr>
          <w:rFonts w:ascii="Verdana" w:hAnsi="Verdana"/>
        </w:rPr>
        <w:t>e</w:t>
      </w:r>
      <w:r w:rsidR="00885A17">
        <w:rPr>
          <w:rFonts w:ascii="Verdana" w:hAnsi="Verdana"/>
        </w:rPr>
        <w:t>d</w:t>
      </w:r>
      <w:r w:rsidR="00120E3D">
        <w:rPr>
          <w:rFonts w:ascii="Verdana" w:hAnsi="Verdana"/>
        </w:rPr>
        <w:t xml:space="preserve"> that</w:t>
      </w:r>
      <w:r w:rsidR="00E35785">
        <w:rPr>
          <w:rFonts w:ascii="Verdana" w:hAnsi="Verdana"/>
        </w:rPr>
        <w:t xml:space="preserve"> Social Landlords have a right </w:t>
      </w:r>
      <w:r w:rsidR="002D149A">
        <w:rPr>
          <w:rFonts w:ascii="Verdana" w:hAnsi="Verdana"/>
        </w:rPr>
        <w:t xml:space="preserve">to use Fixed Term Tenancies. </w:t>
      </w:r>
      <w:r w:rsidR="00947FEF" w:rsidRPr="00947FEF">
        <w:rPr>
          <w:rFonts w:ascii="Verdana" w:hAnsi="Verdana"/>
        </w:rPr>
        <w:t xml:space="preserve">Fixed Term Tenancies offer the opportunity </w:t>
      </w:r>
      <w:r w:rsidR="004A6B56">
        <w:rPr>
          <w:rFonts w:ascii="Verdana" w:hAnsi="Verdana"/>
        </w:rPr>
        <w:t>for</w:t>
      </w:r>
      <w:r w:rsidR="00947FEF" w:rsidRPr="00947FEF">
        <w:rPr>
          <w:rFonts w:ascii="Verdana" w:hAnsi="Verdana"/>
        </w:rPr>
        <w:t xml:space="preserve"> </w:t>
      </w:r>
      <w:r w:rsidR="0063488B">
        <w:rPr>
          <w:rFonts w:ascii="Verdana" w:hAnsi="Verdana"/>
        </w:rPr>
        <w:t>Social Landlords</w:t>
      </w:r>
      <w:r w:rsidR="00947FEF" w:rsidRPr="00947FEF">
        <w:rPr>
          <w:rFonts w:ascii="Verdana" w:hAnsi="Verdana"/>
        </w:rPr>
        <w:t xml:space="preserve"> to encourage people to move to accommodation more suited to their needs</w:t>
      </w:r>
      <w:r w:rsidR="004A6B56">
        <w:rPr>
          <w:rFonts w:ascii="Verdana" w:hAnsi="Verdana"/>
        </w:rPr>
        <w:t xml:space="preserve"> over time</w:t>
      </w:r>
      <w:r w:rsidR="00947FEF" w:rsidRPr="00947FEF">
        <w:rPr>
          <w:rFonts w:ascii="Verdana" w:hAnsi="Verdana"/>
        </w:rPr>
        <w:t xml:space="preserve">. However, they also mean that people are only secure in their accommodation for the </w:t>
      </w:r>
      <w:r w:rsidR="00897247">
        <w:rPr>
          <w:rFonts w:ascii="Verdana" w:hAnsi="Verdana"/>
        </w:rPr>
        <w:t>duration</w:t>
      </w:r>
      <w:r w:rsidR="00947FEF" w:rsidRPr="00947FEF">
        <w:rPr>
          <w:rFonts w:ascii="Verdana" w:hAnsi="Verdana"/>
        </w:rPr>
        <w:t xml:space="preserve"> of the </w:t>
      </w:r>
      <w:r w:rsidR="00897247">
        <w:rPr>
          <w:rFonts w:ascii="Verdana" w:hAnsi="Verdana"/>
        </w:rPr>
        <w:t>f</w:t>
      </w:r>
      <w:r w:rsidR="00947FEF" w:rsidRPr="00947FEF">
        <w:rPr>
          <w:rFonts w:ascii="Verdana" w:hAnsi="Verdana"/>
        </w:rPr>
        <w:t xml:space="preserve">ixed term. Therefore, the use of Fixed Term Tenancies needs to be considered very carefully to make sure that: </w:t>
      </w:r>
    </w:p>
    <w:p w14:paraId="5F681F6E" w14:textId="77777777" w:rsidR="004A6B56" w:rsidRPr="00947FEF" w:rsidRDefault="004A6B56" w:rsidP="00947FEF">
      <w:pPr>
        <w:rPr>
          <w:rFonts w:ascii="Verdana" w:hAnsi="Verdana"/>
        </w:rPr>
      </w:pPr>
    </w:p>
    <w:p w14:paraId="388AB739" w14:textId="2C003E89" w:rsidR="00947FEF" w:rsidRPr="00947FEF" w:rsidRDefault="00947FEF" w:rsidP="00947FEF">
      <w:pPr>
        <w:pStyle w:val="ListParagraph"/>
        <w:numPr>
          <w:ilvl w:val="0"/>
          <w:numId w:val="26"/>
        </w:numPr>
        <w:rPr>
          <w:rFonts w:ascii="Verdana" w:hAnsi="Verdana"/>
        </w:rPr>
      </w:pPr>
      <w:r w:rsidRPr="00947FEF">
        <w:rPr>
          <w:rFonts w:ascii="Verdana" w:hAnsi="Verdana"/>
        </w:rPr>
        <w:t>The ability of households to have sustainable and secure home lives is not unduly compromised</w:t>
      </w:r>
      <w:r w:rsidR="00BB4543">
        <w:rPr>
          <w:rFonts w:ascii="Verdana" w:hAnsi="Verdana"/>
        </w:rPr>
        <w:t>.</w:t>
      </w:r>
    </w:p>
    <w:p w14:paraId="3CA3CDA4" w14:textId="054172F8" w:rsidR="00947FEF" w:rsidRPr="00947FEF" w:rsidRDefault="00947FEF" w:rsidP="00947FEF">
      <w:pPr>
        <w:pStyle w:val="ListParagraph"/>
        <w:numPr>
          <w:ilvl w:val="0"/>
          <w:numId w:val="26"/>
        </w:numPr>
        <w:rPr>
          <w:rFonts w:ascii="Verdana" w:hAnsi="Verdana"/>
        </w:rPr>
      </w:pPr>
      <w:r w:rsidRPr="00947FEF">
        <w:rPr>
          <w:rFonts w:ascii="Verdana" w:hAnsi="Verdana"/>
        </w:rPr>
        <w:t>Communities are socially and economically sustainable</w:t>
      </w:r>
      <w:r w:rsidR="00BB4543">
        <w:rPr>
          <w:rFonts w:ascii="Verdana" w:hAnsi="Verdana"/>
        </w:rPr>
        <w:t>.</w:t>
      </w:r>
    </w:p>
    <w:p w14:paraId="7314CE70" w14:textId="38A09681" w:rsidR="00947FEF" w:rsidRPr="00947FEF" w:rsidRDefault="00947FEF" w:rsidP="00947FEF">
      <w:pPr>
        <w:pStyle w:val="ListParagraph"/>
        <w:numPr>
          <w:ilvl w:val="0"/>
          <w:numId w:val="26"/>
        </w:numPr>
        <w:rPr>
          <w:rFonts w:ascii="Verdana" w:hAnsi="Verdana"/>
        </w:rPr>
      </w:pPr>
      <w:r w:rsidRPr="00947FEF">
        <w:rPr>
          <w:rFonts w:ascii="Verdana" w:hAnsi="Verdana"/>
        </w:rPr>
        <w:t>There is no discrimination against vulnerable tenants</w:t>
      </w:r>
      <w:r w:rsidR="00BB4543">
        <w:rPr>
          <w:rFonts w:ascii="Verdana" w:hAnsi="Verdana"/>
        </w:rPr>
        <w:t>.</w:t>
      </w:r>
    </w:p>
    <w:p w14:paraId="004091EE" w14:textId="77777777" w:rsidR="00947FEF" w:rsidRPr="00947FEF" w:rsidRDefault="00947FEF" w:rsidP="00947FEF">
      <w:pPr>
        <w:pStyle w:val="ListParagraph"/>
        <w:numPr>
          <w:ilvl w:val="0"/>
          <w:numId w:val="26"/>
        </w:numPr>
        <w:rPr>
          <w:rFonts w:ascii="Verdana" w:hAnsi="Verdana"/>
        </w:rPr>
      </w:pPr>
      <w:r w:rsidRPr="00947FEF">
        <w:rPr>
          <w:rFonts w:ascii="Verdana" w:hAnsi="Verdana"/>
        </w:rPr>
        <w:t xml:space="preserve">Tenants are provided with an appropriate type and length of tenancy, giving them the protection and stability that they need to live positively within their local community. </w:t>
      </w:r>
    </w:p>
    <w:p w14:paraId="6C2A63E1" w14:textId="77777777" w:rsidR="00DB1BB4" w:rsidRDefault="00DB1BB4" w:rsidP="007E5002">
      <w:pPr>
        <w:rPr>
          <w:rFonts w:ascii="Verdana" w:hAnsi="Verdana"/>
        </w:rPr>
      </w:pPr>
    </w:p>
    <w:p w14:paraId="0AA5910E" w14:textId="5AC63ABA" w:rsidR="00BB4543" w:rsidRDefault="00BB4543" w:rsidP="00BB4543">
      <w:pPr>
        <w:rPr>
          <w:rFonts w:ascii="Verdana" w:hAnsi="Verdana"/>
        </w:rPr>
      </w:pPr>
      <w:r>
        <w:rPr>
          <w:rFonts w:ascii="Verdana" w:hAnsi="Verdana"/>
        </w:rPr>
        <w:t>In addition, th</w:t>
      </w:r>
      <w:r w:rsidR="00C33459">
        <w:rPr>
          <w:rFonts w:ascii="Verdana" w:hAnsi="Verdana"/>
        </w:rPr>
        <w:t>is</w:t>
      </w:r>
      <w:r>
        <w:rPr>
          <w:rFonts w:ascii="Verdana" w:hAnsi="Verdana"/>
        </w:rPr>
        <w:t xml:space="preserve"> Tenancy Strategy</w:t>
      </w:r>
      <w:r w:rsidR="00A61E74">
        <w:rPr>
          <w:rFonts w:ascii="Verdana" w:hAnsi="Verdana"/>
        </w:rPr>
        <w:t xml:space="preserve"> </w:t>
      </w:r>
      <w:r w:rsidR="00C33459">
        <w:rPr>
          <w:rFonts w:ascii="Verdana" w:hAnsi="Verdana"/>
        </w:rPr>
        <w:t>requires that</w:t>
      </w:r>
      <w:r>
        <w:rPr>
          <w:rFonts w:ascii="Verdana" w:hAnsi="Verdana"/>
        </w:rPr>
        <w:t xml:space="preserve"> </w:t>
      </w:r>
      <w:r w:rsidR="00A61E74">
        <w:rPr>
          <w:rFonts w:ascii="Verdana" w:hAnsi="Verdana"/>
        </w:rPr>
        <w:t>Social Landlords</w:t>
      </w:r>
      <w:r w:rsidRPr="00BB4543">
        <w:rPr>
          <w:rFonts w:ascii="Verdana" w:hAnsi="Verdana"/>
        </w:rPr>
        <w:t xml:space="preserve"> grant general needs tenants a </w:t>
      </w:r>
      <w:r w:rsidR="00C33459">
        <w:rPr>
          <w:rFonts w:ascii="Verdana" w:hAnsi="Verdana"/>
        </w:rPr>
        <w:t>P</w:t>
      </w:r>
      <w:r w:rsidRPr="00BB4543">
        <w:rPr>
          <w:rFonts w:ascii="Verdana" w:hAnsi="Verdana"/>
        </w:rPr>
        <w:t>eriodic</w:t>
      </w:r>
      <w:r w:rsidR="00C33459">
        <w:rPr>
          <w:rFonts w:ascii="Verdana" w:hAnsi="Verdana"/>
        </w:rPr>
        <w:t xml:space="preserve">, </w:t>
      </w:r>
      <w:r w:rsidR="00D40328">
        <w:rPr>
          <w:rFonts w:ascii="Verdana" w:hAnsi="Verdana"/>
        </w:rPr>
        <w:t>S</w:t>
      </w:r>
      <w:r w:rsidR="00D40328" w:rsidRPr="00BB4543">
        <w:rPr>
          <w:rFonts w:ascii="Verdana" w:hAnsi="Verdana"/>
        </w:rPr>
        <w:t>ecure</w:t>
      </w:r>
      <w:r w:rsidRPr="00BB4543">
        <w:rPr>
          <w:rFonts w:ascii="Verdana" w:hAnsi="Verdana"/>
        </w:rPr>
        <w:t xml:space="preserve"> or</w:t>
      </w:r>
      <w:r>
        <w:rPr>
          <w:rFonts w:ascii="Verdana" w:hAnsi="Verdana"/>
        </w:rPr>
        <w:t xml:space="preserve"> </w:t>
      </w:r>
      <w:r w:rsidR="00C33459">
        <w:rPr>
          <w:rFonts w:ascii="Verdana" w:hAnsi="Verdana"/>
        </w:rPr>
        <w:t>A</w:t>
      </w:r>
      <w:r w:rsidRPr="00BB4543">
        <w:rPr>
          <w:rFonts w:ascii="Verdana" w:hAnsi="Verdana"/>
        </w:rPr>
        <w:t xml:space="preserve">ssured (excluding periodic assured shorthold) </w:t>
      </w:r>
      <w:r w:rsidR="00C33459">
        <w:rPr>
          <w:rFonts w:ascii="Verdana" w:hAnsi="Verdana"/>
        </w:rPr>
        <w:t>T</w:t>
      </w:r>
      <w:r w:rsidRPr="00BB4543">
        <w:rPr>
          <w:rFonts w:ascii="Verdana" w:hAnsi="Verdana"/>
        </w:rPr>
        <w:t>enancy, or a tenancy for a</w:t>
      </w:r>
      <w:r>
        <w:rPr>
          <w:rFonts w:ascii="Verdana" w:hAnsi="Verdana"/>
        </w:rPr>
        <w:t xml:space="preserve"> </w:t>
      </w:r>
      <w:r w:rsidRPr="00BB4543">
        <w:rPr>
          <w:rFonts w:ascii="Verdana" w:hAnsi="Verdana"/>
        </w:rPr>
        <w:t>minimum fixed term of five years, or exceptionally, a tenancy for a minimum</w:t>
      </w:r>
      <w:r>
        <w:rPr>
          <w:rFonts w:ascii="Verdana" w:hAnsi="Verdana"/>
        </w:rPr>
        <w:t xml:space="preserve"> </w:t>
      </w:r>
      <w:r w:rsidRPr="00BB4543">
        <w:rPr>
          <w:rFonts w:ascii="Verdana" w:hAnsi="Verdana"/>
        </w:rPr>
        <w:t>fixed term of no less than two years, in addition to any probationary tenancy</w:t>
      </w:r>
      <w:r>
        <w:rPr>
          <w:rFonts w:ascii="Verdana" w:hAnsi="Verdana"/>
        </w:rPr>
        <w:t xml:space="preserve"> </w:t>
      </w:r>
      <w:r w:rsidRPr="00BB4543">
        <w:rPr>
          <w:rFonts w:ascii="Verdana" w:hAnsi="Verdana"/>
        </w:rPr>
        <w:t>period.</w:t>
      </w:r>
    </w:p>
    <w:p w14:paraId="25829758" w14:textId="77777777" w:rsidR="00BB4543" w:rsidRPr="00BB4543" w:rsidRDefault="00BB4543" w:rsidP="00BB4543">
      <w:pPr>
        <w:rPr>
          <w:rFonts w:ascii="Verdana" w:hAnsi="Verdana"/>
        </w:rPr>
      </w:pPr>
    </w:p>
    <w:p w14:paraId="67E7C5B7" w14:textId="554E0530" w:rsidR="00BB4543" w:rsidRPr="00BB4543" w:rsidRDefault="00BB4543" w:rsidP="00BB4543">
      <w:pPr>
        <w:rPr>
          <w:rFonts w:ascii="Verdana" w:hAnsi="Verdana"/>
        </w:rPr>
      </w:pPr>
      <w:r w:rsidRPr="00BB4543">
        <w:rPr>
          <w:rFonts w:ascii="Verdana" w:hAnsi="Verdana"/>
        </w:rPr>
        <w:t xml:space="preserve">Before a fixed term tenancy ends, </w:t>
      </w:r>
      <w:r w:rsidR="00272AE9">
        <w:rPr>
          <w:rFonts w:ascii="Verdana" w:hAnsi="Verdana"/>
        </w:rPr>
        <w:t xml:space="preserve">Social Landlords </w:t>
      </w:r>
      <w:r w:rsidRPr="00BB4543">
        <w:rPr>
          <w:rFonts w:ascii="Verdana" w:hAnsi="Verdana"/>
        </w:rPr>
        <w:t>shall provide notice in</w:t>
      </w:r>
      <w:r w:rsidR="00D40328">
        <w:rPr>
          <w:rFonts w:ascii="Verdana" w:hAnsi="Verdana"/>
        </w:rPr>
        <w:t xml:space="preserve"> </w:t>
      </w:r>
      <w:r w:rsidRPr="00BB4543">
        <w:rPr>
          <w:rFonts w:ascii="Verdana" w:hAnsi="Verdana"/>
        </w:rPr>
        <w:t xml:space="preserve">writing to the tenant stating either that they propose to grant another </w:t>
      </w:r>
      <w:r w:rsidR="00363FD0" w:rsidRPr="00BB4543">
        <w:rPr>
          <w:rFonts w:ascii="Verdana" w:hAnsi="Verdana"/>
        </w:rPr>
        <w:t>tenancy.</w:t>
      </w:r>
    </w:p>
    <w:p w14:paraId="4198FA03" w14:textId="77777777" w:rsidR="00BB4543" w:rsidRPr="00BB4543" w:rsidRDefault="00BB4543" w:rsidP="00BB4543">
      <w:pPr>
        <w:rPr>
          <w:rFonts w:ascii="Verdana" w:hAnsi="Verdana"/>
        </w:rPr>
      </w:pPr>
      <w:r w:rsidRPr="00BB4543">
        <w:rPr>
          <w:rFonts w:ascii="Verdana" w:hAnsi="Verdana"/>
        </w:rPr>
        <w:t>on the expiry of the existing fixed term or that they propose to end the</w:t>
      </w:r>
    </w:p>
    <w:p w14:paraId="24BC1A96" w14:textId="77777777" w:rsidR="00BB4543" w:rsidRDefault="00BB4543" w:rsidP="00BB4543">
      <w:pPr>
        <w:rPr>
          <w:rFonts w:ascii="Verdana" w:hAnsi="Verdana"/>
        </w:rPr>
      </w:pPr>
      <w:r w:rsidRPr="00BB4543">
        <w:rPr>
          <w:rFonts w:ascii="Verdana" w:hAnsi="Verdana"/>
        </w:rPr>
        <w:t>tenancy.</w:t>
      </w:r>
    </w:p>
    <w:p w14:paraId="1FA50713" w14:textId="77777777" w:rsidR="00BB4543" w:rsidRPr="00BB4543" w:rsidRDefault="00BB4543" w:rsidP="00BB4543">
      <w:pPr>
        <w:rPr>
          <w:rFonts w:ascii="Verdana" w:hAnsi="Verdana"/>
        </w:rPr>
      </w:pPr>
    </w:p>
    <w:p w14:paraId="5F54A9A2" w14:textId="2DC890FD" w:rsidR="00BB4543" w:rsidRPr="00BB4543" w:rsidRDefault="00BB4543" w:rsidP="00BB4543">
      <w:pPr>
        <w:rPr>
          <w:rFonts w:ascii="Verdana" w:hAnsi="Verdana"/>
        </w:rPr>
      </w:pPr>
      <w:r w:rsidRPr="00BB4543">
        <w:rPr>
          <w:rFonts w:ascii="Verdana" w:hAnsi="Verdana"/>
        </w:rPr>
        <w:t xml:space="preserve">Where </w:t>
      </w:r>
      <w:r w:rsidR="00272AE9">
        <w:rPr>
          <w:rFonts w:ascii="Verdana" w:hAnsi="Verdana"/>
        </w:rPr>
        <w:t>Social Landlords</w:t>
      </w:r>
      <w:r w:rsidRPr="00BB4543">
        <w:rPr>
          <w:rFonts w:ascii="Verdana" w:hAnsi="Verdana"/>
        </w:rPr>
        <w:t xml:space="preserve"> use probationary tenancies, these shall be for a</w:t>
      </w:r>
    </w:p>
    <w:p w14:paraId="4DFC8E15" w14:textId="77777777" w:rsidR="00BB4543" w:rsidRPr="00BB4543" w:rsidRDefault="00BB4543" w:rsidP="00BB4543">
      <w:pPr>
        <w:rPr>
          <w:rFonts w:ascii="Verdana" w:hAnsi="Verdana"/>
        </w:rPr>
      </w:pPr>
      <w:r w:rsidRPr="00BB4543">
        <w:rPr>
          <w:rFonts w:ascii="Verdana" w:hAnsi="Verdana"/>
        </w:rPr>
        <w:t>maximum of 12 months, or a maximum of 18 months where reasons for</w:t>
      </w:r>
    </w:p>
    <w:p w14:paraId="6CE39A7C" w14:textId="77777777" w:rsidR="00BB4543" w:rsidRPr="00BB4543" w:rsidRDefault="00BB4543" w:rsidP="00BB4543">
      <w:pPr>
        <w:rPr>
          <w:rFonts w:ascii="Verdana" w:hAnsi="Verdana"/>
        </w:rPr>
      </w:pPr>
      <w:r w:rsidRPr="00BB4543">
        <w:rPr>
          <w:rFonts w:ascii="Verdana" w:hAnsi="Verdana"/>
        </w:rPr>
        <w:t>extending the probationary period have been given and where the tenant has</w:t>
      </w:r>
    </w:p>
    <w:p w14:paraId="7ED7AF1F" w14:textId="654B5B69" w:rsidR="00DB1BB4" w:rsidRDefault="00BB4543" w:rsidP="00BB4543">
      <w:pPr>
        <w:rPr>
          <w:rFonts w:ascii="Verdana" w:hAnsi="Verdana"/>
        </w:rPr>
      </w:pPr>
      <w:r w:rsidRPr="00BB4543">
        <w:rPr>
          <w:rFonts w:ascii="Verdana" w:hAnsi="Verdana"/>
        </w:rPr>
        <w:t>the opportunity to request a review</w:t>
      </w:r>
      <w:r>
        <w:rPr>
          <w:rFonts w:ascii="Verdana" w:hAnsi="Verdana"/>
        </w:rPr>
        <w:t>.</w:t>
      </w:r>
    </w:p>
    <w:p w14:paraId="7B78BD91" w14:textId="77777777" w:rsidR="007E5002" w:rsidRDefault="007E5002" w:rsidP="007E5002">
      <w:pPr>
        <w:rPr>
          <w:rFonts w:ascii="Verdana" w:hAnsi="Verdana"/>
        </w:rPr>
      </w:pPr>
    </w:p>
    <w:p w14:paraId="620D4EAC" w14:textId="02584A71" w:rsidR="007E5002" w:rsidRPr="007E5002" w:rsidRDefault="007E5002" w:rsidP="007E5002">
      <w:pPr>
        <w:rPr>
          <w:rFonts w:ascii="Verdana" w:hAnsi="Verdana"/>
        </w:rPr>
      </w:pPr>
      <w:r>
        <w:rPr>
          <w:rFonts w:ascii="Verdana" w:hAnsi="Verdana"/>
        </w:rPr>
        <w:t>The Councils concur with the above</w:t>
      </w:r>
      <w:r w:rsidR="00A733AF">
        <w:rPr>
          <w:rFonts w:ascii="Verdana" w:hAnsi="Verdana"/>
        </w:rPr>
        <w:t>. The</w:t>
      </w:r>
      <w:r w:rsidR="00AC78AD">
        <w:rPr>
          <w:rFonts w:ascii="Verdana" w:hAnsi="Verdana"/>
        </w:rPr>
        <w:t xml:space="preserve"> Councils </w:t>
      </w:r>
      <w:r w:rsidR="00A733AF">
        <w:rPr>
          <w:rFonts w:ascii="Verdana" w:hAnsi="Verdana"/>
        </w:rPr>
        <w:t>consider that p</w:t>
      </w:r>
      <w:r w:rsidRPr="007E5002">
        <w:rPr>
          <w:rFonts w:ascii="Verdana" w:hAnsi="Verdana"/>
        </w:rPr>
        <w:t xml:space="preserve">rospective tenants being offered a Fixed Term Tenancy need to be able to make </w:t>
      </w:r>
      <w:proofErr w:type="gramStart"/>
      <w:r w:rsidRPr="007E5002">
        <w:rPr>
          <w:rFonts w:ascii="Verdana" w:hAnsi="Verdana"/>
        </w:rPr>
        <w:t>a</w:t>
      </w:r>
      <w:proofErr w:type="gramEnd"/>
      <w:r w:rsidRPr="007E5002">
        <w:rPr>
          <w:rFonts w:ascii="Verdana" w:hAnsi="Verdana"/>
        </w:rPr>
        <w:t xml:space="preserve"> informed choice as to whether such a tenancy is appropriate for their needs. All prospective tenants being offered a Fixed Term Tenancy </w:t>
      </w:r>
      <w:r w:rsidR="00A733AF">
        <w:rPr>
          <w:rFonts w:ascii="Verdana" w:hAnsi="Verdana"/>
        </w:rPr>
        <w:t>should</w:t>
      </w:r>
      <w:r w:rsidRPr="007E5002">
        <w:rPr>
          <w:rFonts w:ascii="Verdana" w:hAnsi="Verdana"/>
        </w:rPr>
        <w:t xml:space="preserve"> therefore be advised verbally and in writing of the implications of entering into such a tenancy arrangement prior to the signing of the tenancy agreement. This must include the criteria </w:t>
      </w:r>
      <w:r w:rsidR="00324128">
        <w:rPr>
          <w:rFonts w:ascii="Verdana" w:hAnsi="Verdana"/>
        </w:rPr>
        <w:t>that</w:t>
      </w:r>
      <w:r w:rsidRPr="007E5002">
        <w:rPr>
          <w:rFonts w:ascii="Verdana" w:hAnsi="Verdana"/>
        </w:rPr>
        <w:t xml:space="preserve"> will be used to determine </w:t>
      </w:r>
      <w:proofErr w:type="gramStart"/>
      <w:r w:rsidRPr="007E5002">
        <w:rPr>
          <w:rFonts w:ascii="Verdana" w:hAnsi="Verdana"/>
        </w:rPr>
        <w:t>whether or not</w:t>
      </w:r>
      <w:proofErr w:type="gramEnd"/>
      <w:r w:rsidRPr="007E5002">
        <w:rPr>
          <w:rFonts w:ascii="Verdana" w:hAnsi="Verdana"/>
        </w:rPr>
        <w:t xml:space="preserve"> the tenancy will be renewed and what rehousing options will be offered to help them if the tenancy is not renewed. </w:t>
      </w:r>
    </w:p>
    <w:p w14:paraId="33900503" w14:textId="77777777" w:rsidR="001E4679" w:rsidRDefault="001E4679" w:rsidP="0024648D">
      <w:pPr>
        <w:rPr>
          <w:rFonts w:ascii="Verdana" w:hAnsi="Verdana"/>
        </w:rPr>
      </w:pPr>
    </w:p>
    <w:p w14:paraId="371D067A" w14:textId="6F1577ED" w:rsidR="000C0D02" w:rsidRDefault="000C0D02" w:rsidP="00CC23E7">
      <w:pPr>
        <w:rPr>
          <w:rFonts w:ascii="Verdana" w:hAnsi="Verdana"/>
        </w:rPr>
      </w:pPr>
      <w:r w:rsidRPr="001E4679">
        <w:rPr>
          <w:rFonts w:ascii="Verdana" w:hAnsi="Verdana"/>
        </w:rPr>
        <w:lastRenderedPageBreak/>
        <w:t xml:space="preserve">When a </w:t>
      </w:r>
      <w:r w:rsidR="005C6392">
        <w:rPr>
          <w:rFonts w:ascii="Verdana" w:hAnsi="Verdana"/>
        </w:rPr>
        <w:t>F</w:t>
      </w:r>
      <w:r w:rsidRPr="001E4679">
        <w:rPr>
          <w:rFonts w:ascii="Verdana" w:hAnsi="Verdana"/>
        </w:rPr>
        <w:t xml:space="preserve">ixed </w:t>
      </w:r>
      <w:r w:rsidR="005C6392">
        <w:rPr>
          <w:rFonts w:ascii="Verdana" w:hAnsi="Verdana"/>
        </w:rPr>
        <w:t>T</w:t>
      </w:r>
      <w:r w:rsidRPr="001E4679">
        <w:rPr>
          <w:rFonts w:ascii="Verdana" w:hAnsi="Verdana"/>
        </w:rPr>
        <w:t xml:space="preserve">erm </w:t>
      </w:r>
      <w:r w:rsidR="005C6392">
        <w:rPr>
          <w:rFonts w:ascii="Verdana" w:hAnsi="Verdana"/>
        </w:rPr>
        <w:t>T</w:t>
      </w:r>
      <w:r w:rsidRPr="001E4679">
        <w:rPr>
          <w:rFonts w:ascii="Verdana" w:hAnsi="Verdana"/>
        </w:rPr>
        <w:t xml:space="preserve">enancy is coming to an end the </w:t>
      </w:r>
      <w:r w:rsidR="00CC23E7">
        <w:rPr>
          <w:rFonts w:ascii="Verdana" w:hAnsi="Verdana"/>
        </w:rPr>
        <w:t>Social L</w:t>
      </w:r>
      <w:r w:rsidRPr="001E4679">
        <w:rPr>
          <w:rFonts w:ascii="Verdana" w:hAnsi="Verdana"/>
        </w:rPr>
        <w:t xml:space="preserve">andlord </w:t>
      </w:r>
      <w:proofErr w:type="gramStart"/>
      <w:r w:rsidRPr="001E4679">
        <w:rPr>
          <w:rFonts w:ascii="Verdana" w:hAnsi="Verdana"/>
        </w:rPr>
        <w:t>has to</w:t>
      </w:r>
      <w:proofErr w:type="gramEnd"/>
      <w:r w:rsidRPr="001E4679">
        <w:rPr>
          <w:rFonts w:ascii="Verdana" w:hAnsi="Verdana"/>
        </w:rPr>
        <w:t xml:space="preserve"> decide whether to grant the tenant a new tenancy. </w:t>
      </w:r>
      <w:r w:rsidR="00CC23E7">
        <w:rPr>
          <w:rFonts w:ascii="Verdana" w:hAnsi="Verdana"/>
        </w:rPr>
        <w:t>In coming to a decision</w:t>
      </w:r>
      <w:r w:rsidR="00AC78AD">
        <w:rPr>
          <w:rFonts w:ascii="Verdana" w:hAnsi="Verdana"/>
        </w:rPr>
        <w:t>,</w:t>
      </w:r>
      <w:r w:rsidR="00CC23E7">
        <w:rPr>
          <w:rFonts w:ascii="Verdana" w:hAnsi="Verdana"/>
        </w:rPr>
        <w:t xml:space="preserve"> Social Landlords</w:t>
      </w:r>
      <w:r w:rsidRPr="001E4679">
        <w:rPr>
          <w:rFonts w:ascii="Verdana" w:hAnsi="Verdana"/>
        </w:rPr>
        <w:t xml:space="preserve"> should </w:t>
      </w:r>
      <w:r w:rsidR="00AC78AD">
        <w:rPr>
          <w:rFonts w:ascii="Verdana" w:hAnsi="Verdana"/>
        </w:rPr>
        <w:t>have</w:t>
      </w:r>
      <w:r w:rsidR="00AA2BD0">
        <w:rPr>
          <w:rFonts w:ascii="Verdana" w:hAnsi="Verdana"/>
        </w:rPr>
        <w:t xml:space="preserve"> </w:t>
      </w:r>
      <w:r w:rsidRPr="001E4679">
        <w:rPr>
          <w:rFonts w:ascii="Verdana" w:hAnsi="Verdana"/>
        </w:rPr>
        <w:t xml:space="preserve">due regard to the need to have sustainable communities which include a range of households with mixed income levels. Each household should be assessed to </w:t>
      </w:r>
      <w:proofErr w:type="gramStart"/>
      <w:r w:rsidRPr="001E4679">
        <w:rPr>
          <w:rFonts w:ascii="Verdana" w:hAnsi="Verdana"/>
        </w:rPr>
        <w:t>tak</w:t>
      </w:r>
      <w:r w:rsidR="00CC23E7">
        <w:rPr>
          <w:rFonts w:ascii="Verdana" w:hAnsi="Verdana"/>
        </w:rPr>
        <w:t>e</w:t>
      </w:r>
      <w:r w:rsidRPr="001E4679">
        <w:rPr>
          <w:rFonts w:ascii="Verdana" w:hAnsi="Verdana"/>
        </w:rPr>
        <w:t xml:space="preserve"> into account</w:t>
      </w:r>
      <w:proofErr w:type="gramEnd"/>
      <w:r w:rsidRPr="001E4679">
        <w:rPr>
          <w:rFonts w:ascii="Verdana" w:hAnsi="Verdana"/>
        </w:rPr>
        <w:t xml:space="preserve"> a full understanding of its circumstances and the socio-economic mix of the local community. It is expected that </w:t>
      </w:r>
      <w:r w:rsidR="005C6392">
        <w:rPr>
          <w:rFonts w:ascii="Verdana" w:hAnsi="Verdana"/>
        </w:rPr>
        <w:t>welfare</w:t>
      </w:r>
      <w:r w:rsidRPr="001E4679">
        <w:rPr>
          <w:rFonts w:ascii="Verdana" w:hAnsi="Verdana"/>
        </w:rPr>
        <w:t xml:space="preserve"> policy should also be </w:t>
      </w:r>
      <w:proofErr w:type="gramStart"/>
      <w:r w:rsidRPr="001E4679">
        <w:rPr>
          <w:rFonts w:ascii="Verdana" w:hAnsi="Verdana"/>
        </w:rPr>
        <w:t>taken into account</w:t>
      </w:r>
      <w:proofErr w:type="gramEnd"/>
      <w:r w:rsidR="00CC23E7">
        <w:rPr>
          <w:rFonts w:ascii="Verdana" w:hAnsi="Verdana"/>
        </w:rPr>
        <w:t xml:space="preserve">, </w:t>
      </w:r>
      <w:r w:rsidRPr="001E4679">
        <w:rPr>
          <w:rFonts w:ascii="Verdana" w:hAnsi="Verdana"/>
        </w:rPr>
        <w:t>including for example the under</w:t>
      </w:r>
      <w:r>
        <w:rPr>
          <w:rFonts w:ascii="Verdana" w:hAnsi="Verdana"/>
        </w:rPr>
        <w:t>-</w:t>
      </w:r>
      <w:r w:rsidRPr="001E4679">
        <w:rPr>
          <w:rFonts w:ascii="Verdana" w:hAnsi="Verdana"/>
        </w:rPr>
        <w:t>occupation charge and the benefit cap.</w:t>
      </w:r>
    </w:p>
    <w:p w14:paraId="6F8E4D9C" w14:textId="77777777" w:rsidR="000C0D02" w:rsidRDefault="000C0D02" w:rsidP="000C0D02">
      <w:pPr>
        <w:rPr>
          <w:rFonts w:ascii="Verdana" w:hAnsi="Verdana"/>
        </w:rPr>
      </w:pPr>
      <w:r w:rsidRPr="001E4679">
        <w:rPr>
          <w:rFonts w:ascii="Verdana" w:hAnsi="Verdana"/>
        </w:rPr>
        <w:t xml:space="preserve"> </w:t>
      </w:r>
    </w:p>
    <w:p w14:paraId="41444AF7" w14:textId="77777777" w:rsidR="000C0D02" w:rsidRPr="00057138" w:rsidRDefault="00CC23E7" w:rsidP="001E4679">
      <w:pPr>
        <w:rPr>
          <w:rFonts w:ascii="Verdana" w:hAnsi="Verdana"/>
        </w:rPr>
      </w:pPr>
      <w:bookmarkStart w:id="10" w:name="_Hlk143617982"/>
      <w:r w:rsidRPr="00057138">
        <w:rPr>
          <w:rFonts w:ascii="Verdana" w:hAnsi="Verdana"/>
        </w:rPr>
        <w:t>Expiration of a Fixed Term Tenancy</w:t>
      </w:r>
      <w:r w:rsidR="000C0D02" w:rsidRPr="00057138">
        <w:rPr>
          <w:rFonts w:ascii="Verdana" w:hAnsi="Verdana"/>
        </w:rPr>
        <w:t xml:space="preserve"> should not be used as an alternative to the legal remedies and proceedings that are available for the management of matters such as anti-social behaviour or rent arrears.</w:t>
      </w:r>
    </w:p>
    <w:bookmarkEnd w:id="10"/>
    <w:p w14:paraId="73FCB1C8" w14:textId="77777777" w:rsidR="000C0D02" w:rsidRPr="00057138" w:rsidRDefault="000C0D02" w:rsidP="001E4679">
      <w:pPr>
        <w:rPr>
          <w:rFonts w:ascii="Verdana" w:hAnsi="Verdana"/>
        </w:rPr>
      </w:pPr>
    </w:p>
    <w:p w14:paraId="403D2D82" w14:textId="77777777" w:rsidR="001E4679" w:rsidRDefault="001E4679" w:rsidP="001E4679">
      <w:pPr>
        <w:rPr>
          <w:rFonts w:ascii="Verdana" w:hAnsi="Verdana"/>
        </w:rPr>
      </w:pPr>
      <w:r w:rsidRPr="00057138">
        <w:rPr>
          <w:rFonts w:ascii="Verdana" w:hAnsi="Verdana"/>
        </w:rPr>
        <w:t xml:space="preserve">This Strategy presumes that where a Fixed Term Tenancy has been used, it will be renewed unless: </w:t>
      </w:r>
    </w:p>
    <w:p w14:paraId="6A1AB6AF" w14:textId="77777777" w:rsidR="00057138" w:rsidRPr="00057138" w:rsidRDefault="00057138" w:rsidP="001E4679">
      <w:pPr>
        <w:rPr>
          <w:rFonts w:ascii="Verdana" w:hAnsi="Verdana"/>
        </w:rPr>
      </w:pPr>
    </w:p>
    <w:p w14:paraId="0607A4C7" w14:textId="70F49578" w:rsidR="001E4679" w:rsidRPr="00057138" w:rsidRDefault="001E4679" w:rsidP="00897247">
      <w:pPr>
        <w:pStyle w:val="ListParagraph"/>
        <w:numPr>
          <w:ilvl w:val="0"/>
          <w:numId w:val="31"/>
        </w:numPr>
        <w:rPr>
          <w:rFonts w:ascii="Verdana" w:hAnsi="Verdana"/>
        </w:rPr>
      </w:pPr>
      <w:r w:rsidRPr="00057138">
        <w:rPr>
          <w:rFonts w:ascii="Verdana" w:hAnsi="Verdana"/>
        </w:rPr>
        <w:t xml:space="preserve">The household’s income has changed substantially and is sufficient to allow them to readily secure a home on the open market without undue reliance upon </w:t>
      </w:r>
      <w:r w:rsidR="005C6392" w:rsidRPr="00057138">
        <w:rPr>
          <w:rFonts w:ascii="Verdana" w:hAnsi="Verdana"/>
        </w:rPr>
        <w:t xml:space="preserve">welfare </w:t>
      </w:r>
      <w:r w:rsidR="00363FD0" w:rsidRPr="00057138">
        <w:rPr>
          <w:rFonts w:ascii="Verdana" w:hAnsi="Verdana"/>
        </w:rPr>
        <w:t>benefits.</w:t>
      </w:r>
      <w:r w:rsidRPr="00057138">
        <w:rPr>
          <w:rFonts w:ascii="Verdana" w:hAnsi="Verdana"/>
        </w:rPr>
        <w:t xml:space="preserve"> </w:t>
      </w:r>
    </w:p>
    <w:p w14:paraId="6E4923E2" w14:textId="77777777" w:rsidR="001E4679" w:rsidRPr="00057138" w:rsidRDefault="001E4679" w:rsidP="00897247">
      <w:pPr>
        <w:pStyle w:val="ListParagraph"/>
        <w:numPr>
          <w:ilvl w:val="0"/>
          <w:numId w:val="31"/>
        </w:numPr>
        <w:rPr>
          <w:rFonts w:ascii="Verdana" w:hAnsi="Verdana"/>
        </w:rPr>
      </w:pPr>
      <w:r w:rsidRPr="00057138">
        <w:rPr>
          <w:rFonts w:ascii="Verdana" w:hAnsi="Verdana"/>
        </w:rPr>
        <w:t xml:space="preserve">The size or needs of the household are such that the property is no longer suitable to continue to be occupied by that household. </w:t>
      </w:r>
    </w:p>
    <w:p w14:paraId="06F27AC8" w14:textId="77777777" w:rsidR="001E4679" w:rsidRPr="001E4679" w:rsidRDefault="001E4679" w:rsidP="001E4679">
      <w:pPr>
        <w:rPr>
          <w:rFonts w:ascii="Verdana" w:hAnsi="Verdana"/>
        </w:rPr>
      </w:pPr>
    </w:p>
    <w:p w14:paraId="1F5D10DE" w14:textId="7AD943C3" w:rsidR="00EB0FAD" w:rsidRDefault="00EB0FAD" w:rsidP="001E4679">
      <w:pPr>
        <w:rPr>
          <w:rFonts w:ascii="Verdana" w:hAnsi="Verdana"/>
        </w:rPr>
      </w:pPr>
      <w:r w:rsidRPr="00EB0FAD">
        <w:rPr>
          <w:rFonts w:ascii="Verdana" w:hAnsi="Verdana"/>
        </w:rPr>
        <w:t xml:space="preserve">If the </w:t>
      </w:r>
      <w:r>
        <w:rPr>
          <w:rFonts w:ascii="Verdana" w:hAnsi="Verdana"/>
        </w:rPr>
        <w:t>Social L</w:t>
      </w:r>
      <w:r w:rsidRPr="00EB0FAD">
        <w:rPr>
          <w:rFonts w:ascii="Verdana" w:hAnsi="Verdana"/>
        </w:rPr>
        <w:t xml:space="preserve">andlord decides that it will renew the tenancy it must decide whether to do this for a further fixed term or to offer a Periodic Tenancy. </w:t>
      </w:r>
      <w:r>
        <w:rPr>
          <w:rFonts w:ascii="Verdana" w:hAnsi="Verdana"/>
        </w:rPr>
        <w:t>The Councils</w:t>
      </w:r>
      <w:r w:rsidRPr="00EB0FAD">
        <w:rPr>
          <w:rFonts w:ascii="Verdana" w:hAnsi="Verdana"/>
        </w:rPr>
        <w:t xml:space="preserve"> consider that the principles set out above </w:t>
      </w:r>
      <w:r>
        <w:rPr>
          <w:rFonts w:ascii="Verdana" w:hAnsi="Verdana"/>
        </w:rPr>
        <w:t xml:space="preserve">regarding </w:t>
      </w:r>
      <w:r w:rsidRPr="00EB0FAD">
        <w:rPr>
          <w:rFonts w:ascii="Verdana" w:hAnsi="Verdana"/>
        </w:rPr>
        <w:t>the original tenancy a</w:t>
      </w:r>
      <w:r>
        <w:rPr>
          <w:rFonts w:ascii="Verdana" w:hAnsi="Verdana"/>
        </w:rPr>
        <w:t>pply</w:t>
      </w:r>
      <w:r w:rsidRPr="00EB0FAD">
        <w:rPr>
          <w:rFonts w:ascii="Verdana" w:hAnsi="Verdana"/>
        </w:rPr>
        <w:t xml:space="preserve"> </w:t>
      </w:r>
      <w:r>
        <w:rPr>
          <w:rFonts w:ascii="Verdana" w:hAnsi="Verdana"/>
        </w:rPr>
        <w:t xml:space="preserve">equally </w:t>
      </w:r>
      <w:r w:rsidRPr="00EB0FAD">
        <w:rPr>
          <w:rFonts w:ascii="Verdana" w:hAnsi="Verdana"/>
        </w:rPr>
        <w:t>to this decision.</w:t>
      </w:r>
    </w:p>
    <w:p w14:paraId="505CCFB1" w14:textId="77777777" w:rsidR="00EB0FAD" w:rsidRDefault="00EB0FAD" w:rsidP="001E4679">
      <w:pPr>
        <w:rPr>
          <w:rFonts w:ascii="Verdana" w:hAnsi="Verdana"/>
        </w:rPr>
      </w:pPr>
    </w:p>
    <w:p w14:paraId="1398983D" w14:textId="102C7DB6" w:rsidR="001E4679" w:rsidRDefault="001E4679" w:rsidP="001E4679">
      <w:pPr>
        <w:rPr>
          <w:rFonts w:ascii="Verdana" w:hAnsi="Verdana"/>
        </w:rPr>
      </w:pPr>
      <w:r w:rsidRPr="001E4679">
        <w:rPr>
          <w:rFonts w:ascii="Verdana" w:hAnsi="Verdana"/>
        </w:rPr>
        <w:t xml:space="preserve">If a </w:t>
      </w:r>
      <w:r w:rsidR="004776E5">
        <w:rPr>
          <w:rFonts w:ascii="Verdana" w:hAnsi="Verdana"/>
        </w:rPr>
        <w:t>Public Registered Provider</w:t>
      </w:r>
      <w:r w:rsidRPr="001E4679">
        <w:rPr>
          <w:rFonts w:ascii="Verdana" w:hAnsi="Verdana"/>
        </w:rPr>
        <w:t xml:space="preserve"> decides not to renew a Fixed Term </w:t>
      </w:r>
      <w:r w:rsidR="000C0D02">
        <w:rPr>
          <w:rFonts w:ascii="Verdana" w:hAnsi="Verdana"/>
        </w:rPr>
        <w:t>T</w:t>
      </w:r>
      <w:r w:rsidRPr="001E4679">
        <w:rPr>
          <w:rFonts w:ascii="Verdana" w:hAnsi="Verdana"/>
        </w:rPr>
        <w:t>enancy it has a legal obligation to give the tenant at least six months</w:t>
      </w:r>
      <w:r w:rsidR="004776E5">
        <w:rPr>
          <w:rFonts w:ascii="Verdana" w:hAnsi="Verdana"/>
        </w:rPr>
        <w:t>’</w:t>
      </w:r>
      <w:r w:rsidRPr="001E4679">
        <w:rPr>
          <w:rFonts w:ascii="Verdana" w:hAnsi="Verdana"/>
        </w:rPr>
        <w:t xml:space="preserve"> written notice and the tenant has a right to request a review of the decision. The notice </w:t>
      </w:r>
      <w:proofErr w:type="gramStart"/>
      <w:r w:rsidRPr="001E4679">
        <w:rPr>
          <w:rFonts w:ascii="Verdana" w:hAnsi="Verdana"/>
        </w:rPr>
        <w:t>has to</w:t>
      </w:r>
      <w:proofErr w:type="gramEnd"/>
      <w:r w:rsidRPr="001E4679">
        <w:rPr>
          <w:rFonts w:ascii="Verdana" w:hAnsi="Verdana"/>
        </w:rPr>
        <w:t xml:space="preserve"> advise the tenant of the reasons for the decision, of the right to request a review, and of any time limit for such a request.</w:t>
      </w:r>
    </w:p>
    <w:p w14:paraId="601514F4" w14:textId="77777777" w:rsidR="001E4679" w:rsidRDefault="001E4679" w:rsidP="001E4679">
      <w:pPr>
        <w:rPr>
          <w:rFonts w:ascii="Verdana" w:hAnsi="Verdana"/>
        </w:rPr>
      </w:pPr>
    </w:p>
    <w:p w14:paraId="23D1C8B5" w14:textId="47177E32" w:rsidR="001E4679" w:rsidRDefault="006D2DF4" w:rsidP="001E4679">
      <w:pPr>
        <w:rPr>
          <w:rFonts w:ascii="Verdana" w:hAnsi="Verdana"/>
        </w:rPr>
      </w:pPr>
      <w:r>
        <w:rPr>
          <w:rFonts w:ascii="Verdana" w:hAnsi="Verdana"/>
        </w:rPr>
        <w:t xml:space="preserve">The </w:t>
      </w:r>
      <w:r w:rsidR="00CC23E7">
        <w:rPr>
          <w:rFonts w:ascii="Verdana" w:hAnsi="Verdana"/>
        </w:rPr>
        <w:t xml:space="preserve">Councils encourage </w:t>
      </w:r>
      <w:r>
        <w:rPr>
          <w:rFonts w:ascii="Verdana" w:hAnsi="Verdana"/>
        </w:rPr>
        <w:t xml:space="preserve">Private Registered Providers to follow </w:t>
      </w:r>
      <w:r w:rsidR="00CC23E7">
        <w:rPr>
          <w:rFonts w:ascii="Verdana" w:hAnsi="Verdana"/>
        </w:rPr>
        <w:t xml:space="preserve">a similar approach to that prescribed for </w:t>
      </w:r>
      <w:r>
        <w:rPr>
          <w:rFonts w:ascii="Verdana" w:hAnsi="Verdana"/>
        </w:rPr>
        <w:t>Public Registered Providers</w:t>
      </w:r>
      <w:r w:rsidR="00CC23E7">
        <w:rPr>
          <w:rFonts w:ascii="Verdana" w:hAnsi="Verdana"/>
        </w:rPr>
        <w:t>, i.e. that a</w:t>
      </w:r>
      <w:r w:rsidR="001E4679" w:rsidRPr="001E4679">
        <w:rPr>
          <w:rFonts w:ascii="Verdana" w:hAnsi="Verdana"/>
        </w:rPr>
        <w:t xml:space="preserve">ll </w:t>
      </w:r>
      <w:r w:rsidR="005C6392">
        <w:rPr>
          <w:rFonts w:ascii="Verdana" w:hAnsi="Verdana"/>
        </w:rPr>
        <w:t>Social Landlords</w:t>
      </w:r>
      <w:r w:rsidR="001E4679" w:rsidRPr="001E4679">
        <w:rPr>
          <w:rFonts w:ascii="Verdana" w:hAnsi="Verdana"/>
        </w:rPr>
        <w:t xml:space="preserve"> operating in the </w:t>
      </w:r>
      <w:r w:rsidR="005C6392">
        <w:rPr>
          <w:rFonts w:ascii="Verdana" w:hAnsi="Verdana"/>
        </w:rPr>
        <w:t>D</w:t>
      </w:r>
      <w:r w:rsidR="001E4679" w:rsidRPr="001E4679">
        <w:rPr>
          <w:rFonts w:ascii="Verdana" w:hAnsi="Verdana"/>
        </w:rPr>
        <w:t xml:space="preserve">esignated </w:t>
      </w:r>
      <w:r w:rsidR="005C6392">
        <w:rPr>
          <w:rFonts w:ascii="Verdana" w:hAnsi="Verdana"/>
        </w:rPr>
        <w:t>A</w:t>
      </w:r>
      <w:r w:rsidR="001E4679" w:rsidRPr="001E4679">
        <w:rPr>
          <w:rFonts w:ascii="Verdana" w:hAnsi="Verdana"/>
        </w:rPr>
        <w:t xml:space="preserve">rea </w:t>
      </w:r>
      <w:r w:rsidR="00CC23E7">
        <w:rPr>
          <w:rFonts w:ascii="Verdana" w:hAnsi="Verdana"/>
        </w:rPr>
        <w:t>should</w:t>
      </w:r>
      <w:r w:rsidR="001E4679" w:rsidRPr="001E4679">
        <w:rPr>
          <w:rFonts w:ascii="Verdana" w:hAnsi="Verdana"/>
        </w:rPr>
        <w:t xml:space="preserve"> issue a decision on </w:t>
      </w:r>
      <w:proofErr w:type="gramStart"/>
      <w:r w:rsidR="001E4679" w:rsidRPr="001E4679">
        <w:rPr>
          <w:rFonts w:ascii="Verdana" w:hAnsi="Verdana"/>
        </w:rPr>
        <w:t>whether or not</w:t>
      </w:r>
      <w:proofErr w:type="gramEnd"/>
      <w:r w:rsidR="001E4679" w:rsidRPr="001E4679">
        <w:rPr>
          <w:rFonts w:ascii="Verdana" w:hAnsi="Verdana"/>
        </w:rPr>
        <w:t xml:space="preserve"> to renew a Fixed Term </w:t>
      </w:r>
      <w:r w:rsidR="000C0D02">
        <w:rPr>
          <w:rFonts w:ascii="Verdana" w:hAnsi="Verdana"/>
        </w:rPr>
        <w:t>T</w:t>
      </w:r>
      <w:r w:rsidR="001E4679" w:rsidRPr="001E4679">
        <w:rPr>
          <w:rFonts w:ascii="Verdana" w:hAnsi="Verdana"/>
        </w:rPr>
        <w:t xml:space="preserve">enancy </w:t>
      </w:r>
      <w:r w:rsidR="00CC23E7">
        <w:rPr>
          <w:rFonts w:ascii="Verdana" w:hAnsi="Verdana"/>
        </w:rPr>
        <w:t>so</w:t>
      </w:r>
      <w:r w:rsidR="001E4679" w:rsidRPr="001E4679">
        <w:rPr>
          <w:rFonts w:ascii="Verdana" w:hAnsi="Verdana"/>
        </w:rPr>
        <w:t xml:space="preserve"> as to give the tenant at least six months written notice. This ensures consistency for all </w:t>
      </w:r>
      <w:r w:rsidR="00CC32C3">
        <w:rPr>
          <w:rFonts w:ascii="Verdana" w:hAnsi="Verdana"/>
        </w:rPr>
        <w:t>S</w:t>
      </w:r>
      <w:r w:rsidR="001E4679" w:rsidRPr="001E4679">
        <w:rPr>
          <w:rFonts w:ascii="Verdana" w:hAnsi="Verdana"/>
        </w:rPr>
        <w:t xml:space="preserve">ocial </w:t>
      </w:r>
      <w:r w:rsidR="00CC32C3">
        <w:rPr>
          <w:rFonts w:ascii="Verdana" w:hAnsi="Verdana"/>
        </w:rPr>
        <w:t>H</w:t>
      </w:r>
      <w:r w:rsidR="001E4679" w:rsidRPr="001E4679">
        <w:rPr>
          <w:rFonts w:ascii="Verdana" w:hAnsi="Verdana"/>
        </w:rPr>
        <w:t>ousing tenants and allows sufficient time for</w:t>
      </w:r>
      <w:r w:rsidR="005C6392">
        <w:rPr>
          <w:rFonts w:ascii="Verdana" w:hAnsi="Verdana"/>
        </w:rPr>
        <w:t xml:space="preserve"> </w:t>
      </w:r>
      <w:r w:rsidR="00D73288">
        <w:rPr>
          <w:rFonts w:ascii="Verdana" w:hAnsi="Verdana"/>
        </w:rPr>
        <w:t>Social L</w:t>
      </w:r>
      <w:r w:rsidR="005C6392">
        <w:rPr>
          <w:rFonts w:ascii="Verdana" w:hAnsi="Verdana"/>
        </w:rPr>
        <w:t xml:space="preserve">andlords and advice services </w:t>
      </w:r>
      <w:r w:rsidR="001E4679" w:rsidRPr="001E4679">
        <w:rPr>
          <w:rFonts w:ascii="Verdana" w:hAnsi="Verdana"/>
        </w:rPr>
        <w:t>to work with tenants to find alternative accommodation.</w:t>
      </w:r>
    </w:p>
    <w:p w14:paraId="420D8917" w14:textId="77777777" w:rsidR="001E4679" w:rsidRPr="001E4679" w:rsidRDefault="001E4679" w:rsidP="001E4679">
      <w:pPr>
        <w:rPr>
          <w:rFonts w:ascii="Verdana" w:hAnsi="Verdana"/>
        </w:rPr>
      </w:pPr>
      <w:r w:rsidRPr="001E4679">
        <w:rPr>
          <w:rFonts w:ascii="Verdana" w:hAnsi="Verdana"/>
        </w:rPr>
        <w:t xml:space="preserve"> </w:t>
      </w:r>
    </w:p>
    <w:p w14:paraId="1C51202F" w14:textId="7AB3D1AC" w:rsidR="00324128" w:rsidRDefault="00324128" w:rsidP="00324128">
      <w:pPr>
        <w:rPr>
          <w:rFonts w:ascii="Verdana" w:hAnsi="Verdana"/>
        </w:rPr>
      </w:pPr>
      <w:r w:rsidRPr="001E4679">
        <w:rPr>
          <w:rFonts w:ascii="Verdana" w:hAnsi="Verdana"/>
        </w:rPr>
        <w:t xml:space="preserve">If </w:t>
      </w:r>
      <w:r>
        <w:rPr>
          <w:rFonts w:ascii="Verdana" w:hAnsi="Verdana"/>
        </w:rPr>
        <w:t>a Social Landlord</w:t>
      </w:r>
      <w:r w:rsidRPr="001E4679">
        <w:rPr>
          <w:rFonts w:ascii="Verdana" w:hAnsi="Verdana"/>
        </w:rPr>
        <w:t xml:space="preserve"> decides that a Fixed Term Tenancy </w:t>
      </w:r>
      <w:r>
        <w:rPr>
          <w:rFonts w:ascii="Verdana" w:hAnsi="Verdana"/>
        </w:rPr>
        <w:t>is not going to be renewed</w:t>
      </w:r>
      <w:r w:rsidRPr="001E4679">
        <w:rPr>
          <w:rFonts w:ascii="Verdana" w:hAnsi="Verdana"/>
        </w:rPr>
        <w:t>:</w:t>
      </w:r>
    </w:p>
    <w:p w14:paraId="6F4C62F8" w14:textId="77777777" w:rsidR="00324128" w:rsidRPr="001E4679" w:rsidRDefault="00324128" w:rsidP="00324128">
      <w:pPr>
        <w:rPr>
          <w:rFonts w:ascii="Verdana" w:hAnsi="Verdana"/>
        </w:rPr>
      </w:pPr>
    </w:p>
    <w:p w14:paraId="607DB143" w14:textId="77777777" w:rsidR="00324128" w:rsidRPr="00897247" w:rsidRDefault="00324128" w:rsidP="00324128">
      <w:pPr>
        <w:pStyle w:val="ListParagraph"/>
        <w:numPr>
          <w:ilvl w:val="0"/>
          <w:numId w:val="30"/>
        </w:numPr>
        <w:rPr>
          <w:rFonts w:ascii="Verdana" w:hAnsi="Verdana"/>
        </w:rPr>
      </w:pPr>
      <w:r w:rsidRPr="00897247">
        <w:rPr>
          <w:rFonts w:ascii="Verdana" w:hAnsi="Verdana"/>
        </w:rPr>
        <w:t>The conditions for ending the tenancy set out in all relevant and applicable regulations and legislation must be met</w:t>
      </w:r>
      <w:r>
        <w:rPr>
          <w:rFonts w:ascii="Verdana" w:hAnsi="Verdana"/>
        </w:rPr>
        <w:t>.</w:t>
      </w:r>
      <w:r w:rsidRPr="00897247">
        <w:rPr>
          <w:rFonts w:ascii="Verdana" w:hAnsi="Verdana"/>
        </w:rPr>
        <w:t xml:space="preserve"> </w:t>
      </w:r>
    </w:p>
    <w:p w14:paraId="51064A34" w14:textId="1080B8EA" w:rsidR="00324128" w:rsidRPr="00897247" w:rsidRDefault="00324128" w:rsidP="00324128">
      <w:pPr>
        <w:pStyle w:val="ListParagraph"/>
        <w:numPr>
          <w:ilvl w:val="0"/>
          <w:numId w:val="30"/>
        </w:numPr>
        <w:rPr>
          <w:rFonts w:ascii="Verdana" w:hAnsi="Verdana"/>
        </w:rPr>
      </w:pPr>
      <w:r>
        <w:rPr>
          <w:rFonts w:ascii="Verdana" w:hAnsi="Verdana"/>
        </w:rPr>
        <w:t>If</w:t>
      </w:r>
      <w:r w:rsidRPr="00897247">
        <w:rPr>
          <w:rFonts w:ascii="Verdana" w:hAnsi="Verdana"/>
        </w:rPr>
        <w:t xml:space="preserve"> the tenancy is not being renewed because the household is under or over occupying their home, the landlord should make every effort to find them another suitable home with a </w:t>
      </w:r>
      <w:r>
        <w:rPr>
          <w:rFonts w:ascii="Verdana" w:hAnsi="Verdana"/>
        </w:rPr>
        <w:t>S</w:t>
      </w:r>
      <w:r w:rsidRPr="00897247">
        <w:rPr>
          <w:rFonts w:ascii="Verdana" w:hAnsi="Verdana"/>
        </w:rPr>
        <w:t xml:space="preserve">ocial </w:t>
      </w:r>
      <w:r>
        <w:rPr>
          <w:rFonts w:ascii="Verdana" w:hAnsi="Verdana"/>
        </w:rPr>
        <w:t>L</w:t>
      </w:r>
      <w:r w:rsidRPr="00897247">
        <w:rPr>
          <w:rFonts w:ascii="Verdana" w:hAnsi="Verdana"/>
        </w:rPr>
        <w:t>andlord</w:t>
      </w:r>
      <w:r>
        <w:rPr>
          <w:rFonts w:ascii="Verdana" w:hAnsi="Verdana"/>
        </w:rPr>
        <w:t>.</w:t>
      </w:r>
      <w:r w:rsidRPr="00897247">
        <w:rPr>
          <w:rFonts w:ascii="Verdana" w:hAnsi="Verdana"/>
        </w:rPr>
        <w:t xml:space="preserve"> </w:t>
      </w:r>
    </w:p>
    <w:p w14:paraId="7959982F" w14:textId="77777777" w:rsidR="00324128" w:rsidRPr="00EB0FAD" w:rsidRDefault="00324128" w:rsidP="00324128">
      <w:pPr>
        <w:pStyle w:val="ListParagraph"/>
        <w:numPr>
          <w:ilvl w:val="0"/>
          <w:numId w:val="30"/>
        </w:numPr>
        <w:rPr>
          <w:rFonts w:ascii="Verdana" w:hAnsi="Verdana"/>
        </w:rPr>
      </w:pPr>
      <w:r w:rsidRPr="00EB0FAD">
        <w:rPr>
          <w:rFonts w:ascii="Verdana" w:hAnsi="Verdana"/>
        </w:rPr>
        <w:lastRenderedPageBreak/>
        <w:t>The tenant should be given practical and meaningful advice and assistance about the full range of housing options that are viable and available to them, taking into account their housing needs, their social and employment networks and their financial status (including home ownership if this is affordable and an expressed desire of the tenant).</w:t>
      </w:r>
    </w:p>
    <w:p w14:paraId="7D304778" w14:textId="77777777" w:rsidR="00324128" w:rsidRPr="00324128" w:rsidRDefault="00EB0FAD" w:rsidP="00324128">
      <w:pPr>
        <w:pStyle w:val="ListParagraph"/>
        <w:numPr>
          <w:ilvl w:val="0"/>
          <w:numId w:val="32"/>
        </w:numPr>
        <w:rPr>
          <w:rFonts w:ascii="Verdana" w:hAnsi="Verdana"/>
        </w:rPr>
      </w:pPr>
      <w:r>
        <w:rPr>
          <w:rFonts w:ascii="Verdana" w:hAnsi="Verdana"/>
        </w:rPr>
        <w:t>The landlord should refer the tenant</w:t>
      </w:r>
      <w:r w:rsidR="00324128" w:rsidRPr="00324128">
        <w:rPr>
          <w:rFonts w:ascii="Verdana" w:hAnsi="Verdana"/>
        </w:rPr>
        <w:t xml:space="preserve"> to the local Housing Options Team if this is appropriate and, </w:t>
      </w:r>
      <w:r w:rsidR="00324128">
        <w:rPr>
          <w:rFonts w:ascii="Verdana" w:hAnsi="Verdana"/>
        </w:rPr>
        <w:t>i</w:t>
      </w:r>
      <w:r w:rsidR="00324128" w:rsidRPr="00324128">
        <w:rPr>
          <w:rFonts w:ascii="Verdana" w:hAnsi="Verdana"/>
        </w:rPr>
        <w:t xml:space="preserve">n accordance with regulatory standards, </w:t>
      </w:r>
      <w:r>
        <w:rPr>
          <w:rFonts w:ascii="Verdana" w:hAnsi="Verdana"/>
        </w:rPr>
        <w:t xml:space="preserve">must then </w:t>
      </w:r>
      <w:r w:rsidR="00324128" w:rsidRPr="00324128">
        <w:rPr>
          <w:rFonts w:ascii="Verdana" w:hAnsi="Verdana"/>
        </w:rPr>
        <w:t xml:space="preserve">assist in seeking to prevent or relieve </w:t>
      </w:r>
      <w:r>
        <w:rPr>
          <w:rFonts w:ascii="Verdana" w:hAnsi="Verdana"/>
        </w:rPr>
        <w:t xml:space="preserve">any threat of </w:t>
      </w:r>
      <w:r w:rsidR="00324128" w:rsidRPr="00324128">
        <w:rPr>
          <w:rFonts w:ascii="Verdana" w:hAnsi="Verdana"/>
        </w:rPr>
        <w:t xml:space="preserve">homelessness.  </w:t>
      </w:r>
    </w:p>
    <w:p w14:paraId="4032C54C" w14:textId="77777777" w:rsidR="00324128" w:rsidRPr="001E4679" w:rsidRDefault="00324128" w:rsidP="00324128">
      <w:pPr>
        <w:rPr>
          <w:rFonts w:ascii="Verdana" w:hAnsi="Verdana"/>
        </w:rPr>
      </w:pPr>
    </w:p>
    <w:p w14:paraId="76C7D471" w14:textId="468D9DD0" w:rsidR="00555C9E" w:rsidRDefault="00B0362D" w:rsidP="00555C9E">
      <w:pPr>
        <w:rPr>
          <w:rFonts w:ascii="Verdana" w:hAnsi="Verdana"/>
          <w:b/>
          <w:color w:val="auto"/>
        </w:rPr>
      </w:pPr>
      <w:r>
        <w:rPr>
          <w:rFonts w:ascii="Verdana" w:hAnsi="Verdana"/>
          <w:b/>
          <w:color w:val="auto"/>
        </w:rPr>
        <w:t>5</w:t>
      </w:r>
      <w:r w:rsidR="00555C9E" w:rsidRPr="00C804CF">
        <w:rPr>
          <w:rFonts w:ascii="Verdana" w:hAnsi="Verdana"/>
          <w:b/>
          <w:color w:val="auto"/>
        </w:rPr>
        <w:t>.6</w:t>
      </w:r>
      <w:r w:rsidR="00555C9E" w:rsidRPr="00C804CF">
        <w:rPr>
          <w:rFonts w:ascii="Verdana" w:hAnsi="Verdana"/>
          <w:b/>
          <w:color w:val="auto"/>
        </w:rPr>
        <w:tab/>
        <w:t>Equitable Tenancies</w:t>
      </w:r>
    </w:p>
    <w:p w14:paraId="02EEEDA2" w14:textId="77777777" w:rsidR="00057138" w:rsidRPr="00C804CF" w:rsidRDefault="00057138" w:rsidP="00555C9E">
      <w:pPr>
        <w:rPr>
          <w:rFonts w:ascii="Verdana" w:hAnsi="Verdana"/>
          <w:b/>
          <w:color w:val="auto"/>
        </w:rPr>
      </w:pPr>
    </w:p>
    <w:p w14:paraId="6B2DD91A" w14:textId="1DA33FC5" w:rsidR="00555C9E" w:rsidRPr="00C804CF" w:rsidRDefault="00555C9E" w:rsidP="00555C9E">
      <w:pPr>
        <w:rPr>
          <w:rFonts w:ascii="Verdana" w:hAnsi="Verdana"/>
          <w:color w:val="auto"/>
        </w:rPr>
      </w:pPr>
      <w:r w:rsidRPr="00057138">
        <w:rPr>
          <w:rFonts w:ascii="Verdana" w:hAnsi="Verdana"/>
          <w:color w:val="auto"/>
        </w:rPr>
        <w:t>Equitable tenancies are a local initiative,</w:t>
      </w:r>
      <w:r w:rsidRPr="00C804CF">
        <w:rPr>
          <w:rFonts w:ascii="Verdana" w:hAnsi="Verdana"/>
          <w:color w:val="auto"/>
        </w:rPr>
        <w:t xml:space="preserve"> being used in Warwickshire for the purpose of supporting a scheme whereby </w:t>
      </w:r>
      <w:r w:rsidR="00363FD0" w:rsidRPr="00C804CF">
        <w:rPr>
          <w:rFonts w:ascii="Verdana" w:hAnsi="Verdana"/>
          <w:color w:val="auto"/>
        </w:rPr>
        <w:t xml:space="preserve">the </w:t>
      </w:r>
      <w:r w:rsidR="00363FD0">
        <w:rPr>
          <w:rFonts w:ascii="Verdana" w:hAnsi="Verdana"/>
          <w:color w:val="auto"/>
        </w:rPr>
        <w:t>relevant</w:t>
      </w:r>
      <w:r w:rsidR="00556946">
        <w:rPr>
          <w:rFonts w:ascii="Verdana" w:hAnsi="Verdana"/>
          <w:color w:val="auto"/>
        </w:rPr>
        <w:t xml:space="preserve"> </w:t>
      </w:r>
      <w:r w:rsidR="004D31AF">
        <w:rPr>
          <w:rFonts w:ascii="Verdana" w:hAnsi="Verdana"/>
          <w:color w:val="auto"/>
        </w:rPr>
        <w:t>Public Registered Provider</w:t>
      </w:r>
      <w:r w:rsidRPr="00C804CF">
        <w:rPr>
          <w:rFonts w:ascii="Verdana" w:hAnsi="Verdana"/>
          <w:color w:val="auto"/>
        </w:rPr>
        <w:t xml:space="preserve"> allocate</w:t>
      </w:r>
      <w:r w:rsidR="00E47C7D" w:rsidRPr="00C804CF">
        <w:rPr>
          <w:rFonts w:ascii="Verdana" w:hAnsi="Verdana"/>
          <w:color w:val="auto"/>
        </w:rPr>
        <w:t>s</w:t>
      </w:r>
      <w:r w:rsidRPr="00C804CF">
        <w:rPr>
          <w:rFonts w:ascii="Verdana" w:hAnsi="Verdana"/>
          <w:color w:val="auto"/>
        </w:rPr>
        <w:t xml:space="preserve"> a </w:t>
      </w:r>
      <w:r w:rsidR="00E75D9F" w:rsidRPr="00C804CF">
        <w:rPr>
          <w:rFonts w:ascii="Verdana" w:hAnsi="Verdana"/>
          <w:color w:val="auto"/>
        </w:rPr>
        <w:t>one-</w:t>
      </w:r>
      <w:r w:rsidR="00E47C7D" w:rsidRPr="00C804CF">
        <w:rPr>
          <w:rFonts w:ascii="Verdana" w:hAnsi="Verdana"/>
          <w:color w:val="auto"/>
        </w:rPr>
        <w:t xml:space="preserve">bedroom property </w:t>
      </w:r>
      <w:r w:rsidRPr="00C804CF">
        <w:rPr>
          <w:rFonts w:ascii="Verdana" w:hAnsi="Verdana"/>
          <w:color w:val="auto"/>
        </w:rPr>
        <w:t xml:space="preserve">to an under </w:t>
      </w:r>
      <w:proofErr w:type="gramStart"/>
      <w:r w:rsidRPr="00C804CF">
        <w:rPr>
          <w:rFonts w:ascii="Verdana" w:hAnsi="Verdana"/>
          <w:color w:val="auto"/>
        </w:rPr>
        <w:t>18 year old</w:t>
      </w:r>
      <w:proofErr w:type="gramEnd"/>
      <w:r w:rsidRPr="00C804CF">
        <w:rPr>
          <w:rFonts w:ascii="Verdana" w:hAnsi="Verdana"/>
          <w:color w:val="auto"/>
        </w:rPr>
        <w:t xml:space="preserve"> who is </w:t>
      </w:r>
      <w:r w:rsidR="00E47C7D" w:rsidRPr="00C804CF">
        <w:rPr>
          <w:rFonts w:ascii="Verdana" w:hAnsi="Verdana"/>
          <w:color w:val="auto"/>
        </w:rPr>
        <w:t>in</w:t>
      </w:r>
      <w:r w:rsidRPr="00C804CF">
        <w:rPr>
          <w:rFonts w:ascii="Verdana" w:hAnsi="Verdana"/>
          <w:color w:val="auto"/>
        </w:rPr>
        <w:t xml:space="preserve"> the </w:t>
      </w:r>
      <w:r w:rsidR="00E47C7D" w:rsidRPr="00C804CF">
        <w:rPr>
          <w:rFonts w:ascii="Verdana" w:hAnsi="Verdana"/>
          <w:color w:val="auto"/>
        </w:rPr>
        <w:t>c</w:t>
      </w:r>
      <w:r w:rsidRPr="00C804CF">
        <w:rPr>
          <w:rFonts w:ascii="Verdana" w:hAnsi="Verdana"/>
          <w:color w:val="auto"/>
        </w:rPr>
        <w:t>are</w:t>
      </w:r>
      <w:r w:rsidR="00E75D9F" w:rsidRPr="00C804CF">
        <w:rPr>
          <w:rFonts w:ascii="Verdana" w:hAnsi="Verdana"/>
          <w:color w:val="auto"/>
        </w:rPr>
        <w:t xml:space="preserve"> of Warwickshire County Council</w:t>
      </w:r>
      <w:r w:rsidRPr="00C804CF">
        <w:rPr>
          <w:rFonts w:ascii="Verdana" w:hAnsi="Verdana"/>
          <w:color w:val="auto"/>
        </w:rPr>
        <w:t>.</w:t>
      </w:r>
    </w:p>
    <w:p w14:paraId="58EEA392" w14:textId="77777777" w:rsidR="00555C9E" w:rsidRPr="00C804CF" w:rsidRDefault="00555C9E" w:rsidP="00555C9E">
      <w:pPr>
        <w:rPr>
          <w:rFonts w:ascii="Verdana" w:hAnsi="Verdana"/>
          <w:color w:val="auto"/>
        </w:rPr>
      </w:pPr>
    </w:p>
    <w:p w14:paraId="5605EBE2" w14:textId="685DF06B" w:rsidR="00555C9E" w:rsidRPr="00C804CF" w:rsidRDefault="00E75D9F" w:rsidP="00555C9E">
      <w:pPr>
        <w:rPr>
          <w:rFonts w:ascii="Verdana" w:hAnsi="Verdana"/>
          <w:color w:val="auto"/>
        </w:rPr>
      </w:pPr>
      <w:r w:rsidRPr="00C804CF">
        <w:rPr>
          <w:rFonts w:ascii="Verdana" w:hAnsi="Verdana"/>
          <w:color w:val="auto"/>
        </w:rPr>
        <w:t>The</w:t>
      </w:r>
      <w:r w:rsidR="00555C9E" w:rsidRPr="00C804CF">
        <w:rPr>
          <w:rFonts w:ascii="Verdana" w:hAnsi="Verdana"/>
          <w:color w:val="auto"/>
        </w:rPr>
        <w:t xml:space="preserve"> legal titl</w:t>
      </w:r>
      <w:r w:rsidRPr="00C804CF">
        <w:rPr>
          <w:rFonts w:ascii="Verdana" w:hAnsi="Verdana"/>
          <w:color w:val="auto"/>
        </w:rPr>
        <w:t xml:space="preserve">e is held in trust by an adult </w:t>
      </w:r>
      <w:r w:rsidR="00555C9E" w:rsidRPr="00C804CF">
        <w:rPr>
          <w:rFonts w:ascii="Verdana" w:hAnsi="Verdana"/>
          <w:color w:val="auto"/>
        </w:rPr>
        <w:t>or corporate entity</w:t>
      </w:r>
      <w:r w:rsidR="00E47C7D" w:rsidRPr="00C804CF">
        <w:rPr>
          <w:rFonts w:ascii="Verdana" w:hAnsi="Verdana"/>
          <w:color w:val="auto"/>
        </w:rPr>
        <w:t>,</w:t>
      </w:r>
      <w:r w:rsidR="00555C9E" w:rsidRPr="00C804CF">
        <w:rPr>
          <w:rFonts w:ascii="Verdana" w:hAnsi="Verdana"/>
          <w:color w:val="auto"/>
        </w:rPr>
        <w:t xml:space="preserve"> </w:t>
      </w:r>
      <w:r w:rsidRPr="00C804CF">
        <w:rPr>
          <w:rFonts w:ascii="Verdana" w:hAnsi="Verdana"/>
          <w:color w:val="auto"/>
        </w:rPr>
        <w:t>such as</w:t>
      </w:r>
      <w:r w:rsidR="00555C9E" w:rsidRPr="00C804CF">
        <w:rPr>
          <w:rFonts w:ascii="Verdana" w:hAnsi="Verdana"/>
          <w:color w:val="auto"/>
        </w:rPr>
        <w:t xml:space="preserve"> Warwickshire County Council. The </w:t>
      </w:r>
      <w:r w:rsidR="004D31AF">
        <w:rPr>
          <w:rFonts w:ascii="Verdana" w:hAnsi="Verdana"/>
          <w:color w:val="auto"/>
        </w:rPr>
        <w:t xml:space="preserve">Public Registered Provider </w:t>
      </w:r>
      <w:r w:rsidR="00555C9E" w:rsidRPr="00C804CF">
        <w:rPr>
          <w:rFonts w:ascii="Verdana" w:hAnsi="Verdana"/>
          <w:color w:val="auto"/>
        </w:rPr>
        <w:t>retains the legal title on trust for the benefit of the minor</w:t>
      </w:r>
      <w:r w:rsidR="00E47C7D" w:rsidRPr="00C804CF">
        <w:rPr>
          <w:rFonts w:ascii="Verdana" w:hAnsi="Verdana"/>
          <w:color w:val="auto"/>
        </w:rPr>
        <w:t xml:space="preserve"> while</w:t>
      </w:r>
      <w:r w:rsidR="00555C9E" w:rsidRPr="00C804CF">
        <w:rPr>
          <w:rFonts w:ascii="Verdana" w:hAnsi="Verdana"/>
          <w:color w:val="auto"/>
        </w:rPr>
        <w:t xml:space="preserve"> the minor holds the </w:t>
      </w:r>
      <w:r w:rsidR="00555C9E" w:rsidRPr="00C804CF">
        <w:rPr>
          <w:rFonts w:ascii="Verdana" w:hAnsi="Verdana"/>
          <w:bCs/>
          <w:color w:val="auto"/>
        </w:rPr>
        <w:t>tenancy</w:t>
      </w:r>
      <w:r w:rsidR="00555C9E" w:rsidRPr="00C804CF">
        <w:rPr>
          <w:rFonts w:ascii="Verdana" w:hAnsi="Verdana"/>
          <w:color w:val="auto"/>
        </w:rPr>
        <w:t> in equity.</w:t>
      </w:r>
    </w:p>
    <w:p w14:paraId="3C3720C2" w14:textId="77777777" w:rsidR="00555C9E" w:rsidRPr="00C804CF" w:rsidRDefault="00555C9E" w:rsidP="00555C9E">
      <w:pPr>
        <w:rPr>
          <w:rFonts w:ascii="Verdana" w:hAnsi="Verdana"/>
          <w:color w:val="auto"/>
        </w:rPr>
      </w:pPr>
    </w:p>
    <w:p w14:paraId="09DCACC7" w14:textId="77CD5D10" w:rsidR="00555C9E" w:rsidRDefault="00E75D9F" w:rsidP="00555C9E">
      <w:pPr>
        <w:rPr>
          <w:rFonts w:ascii="Verdana" w:hAnsi="Verdana"/>
          <w:color w:val="auto"/>
        </w:rPr>
      </w:pPr>
      <w:r w:rsidRPr="00C804CF">
        <w:rPr>
          <w:rFonts w:ascii="Verdana" w:hAnsi="Verdana"/>
          <w:color w:val="auto"/>
        </w:rPr>
        <w:t>The trustee pays</w:t>
      </w:r>
      <w:r w:rsidR="00555C9E" w:rsidRPr="00C804CF">
        <w:rPr>
          <w:rFonts w:ascii="Verdana" w:hAnsi="Verdana"/>
          <w:color w:val="auto"/>
        </w:rPr>
        <w:t xml:space="preserve"> the rent, service charges </w:t>
      </w:r>
      <w:r w:rsidRPr="00C804CF">
        <w:rPr>
          <w:rFonts w:ascii="Verdana" w:hAnsi="Verdana"/>
          <w:color w:val="auto"/>
        </w:rPr>
        <w:t xml:space="preserve">and other fees </w:t>
      </w:r>
      <w:r w:rsidR="00555C9E" w:rsidRPr="00C804CF">
        <w:rPr>
          <w:rFonts w:ascii="Verdana" w:hAnsi="Verdana"/>
          <w:color w:val="auto"/>
        </w:rPr>
        <w:t>and support</w:t>
      </w:r>
      <w:r w:rsidRPr="00C804CF">
        <w:rPr>
          <w:rFonts w:ascii="Verdana" w:hAnsi="Verdana"/>
          <w:color w:val="auto"/>
        </w:rPr>
        <w:t>s</w:t>
      </w:r>
      <w:r w:rsidR="00555C9E" w:rsidRPr="00C804CF">
        <w:rPr>
          <w:rFonts w:ascii="Verdana" w:hAnsi="Verdana"/>
          <w:color w:val="auto"/>
        </w:rPr>
        <w:t xml:space="preserve"> the young person throughout a </w:t>
      </w:r>
      <w:r w:rsidR="00363FD0" w:rsidRPr="00C804CF">
        <w:rPr>
          <w:rFonts w:ascii="Verdana" w:hAnsi="Verdana"/>
          <w:color w:val="auto"/>
        </w:rPr>
        <w:t>12-month</w:t>
      </w:r>
      <w:r w:rsidR="00555C9E" w:rsidRPr="00C804CF">
        <w:rPr>
          <w:rFonts w:ascii="Verdana" w:hAnsi="Verdana"/>
          <w:color w:val="auto"/>
        </w:rPr>
        <w:t xml:space="preserve"> period, after which the young person secures an Introductory or </w:t>
      </w:r>
      <w:r w:rsidRPr="00C804CF">
        <w:rPr>
          <w:rFonts w:ascii="Verdana" w:hAnsi="Verdana"/>
          <w:color w:val="auto"/>
        </w:rPr>
        <w:t>Secure Periodic</w:t>
      </w:r>
      <w:r w:rsidR="00555C9E" w:rsidRPr="00C804CF">
        <w:rPr>
          <w:rFonts w:ascii="Verdana" w:hAnsi="Verdana"/>
          <w:color w:val="auto"/>
        </w:rPr>
        <w:t xml:space="preserve"> </w:t>
      </w:r>
      <w:r w:rsidRPr="00C804CF">
        <w:rPr>
          <w:rFonts w:ascii="Verdana" w:hAnsi="Verdana"/>
          <w:color w:val="auto"/>
        </w:rPr>
        <w:t>T</w:t>
      </w:r>
      <w:r w:rsidR="00555C9E" w:rsidRPr="00C804CF">
        <w:rPr>
          <w:rFonts w:ascii="Verdana" w:hAnsi="Verdana"/>
          <w:color w:val="auto"/>
        </w:rPr>
        <w:t>enancy in their own right, depend</w:t>
      </w:r>
      <w:r w:rsidR="00E47C7D" w:rsidRPr="00C804CF">
        <w:rPr>
          <w:rFonts w:ascii="Verdana" w:hAnsi="Verdana"/>
          <w:color w:val="auto"/>
        </w:rPr>
        <w:t>e</w:t>
      </w:r>
      <w:r w:rsidR="00555C9E" w:rsidRPr="00C804CF">
        <w:rPr>
          <w:rFonts w:ascii="Verdana" w:hAnsi="Verdana"/>
          <w:color w:val="auto"/>
        </w:rPr>
        <w:t xml:space="preserve">nt on the </w:t>
      </w:r>
      <w:r w:rsidR="00F467D0">
        <w:rPr>
          <w:rFonts w:ascii="Verdana" w:hAnsi="Verdana"/>
          <w:color w:val="auto"/>
        </w:rPr>
        <w:t xml:space="preserve">relevant Council </w:t>
      </w:r>
      <w:r w:rsidR="00E47C7D" w:rsidRPr="00C804CF">
        <w:rPr>
          <w:rFonts w:ascii="Verdana" w:hAnsi="Verdana"/>
          <w:color w:val="auto"/>
        </w:rPr>
        <w:t>a</w:t>
      </w:r>
      <w:r w:rsidR="00555C9E" w:rsidRPr="00C804CF">
        <w:rPr>
          <w:rFonts w:ascii="Verdana" w:hAnsi="Verdana"/>
          <w:color w:val="auto"/>
        </w:rPr>
        <w:t xml:space="preserve">llocation </w:t>
      </w:r>
      <w:r w:rsidR="00E47C7D" w:rsidRPr="00C804CF">
        <w:rPr>
          <w:rFonts w:ascii="Verdana" w:hAnsi="Verdana"/>
          <w:color w:val="auto"/>
        </w:rPr>
        <w:t>p</w:t>
      </w:r>
      <w:r w:rsidR="00555C9E" w:rsidRPr="00C804CF">
        <w:rPr>
          <w:rFonts w:ascii="Verdana" w:hAnsi="Verdana"/>
          <w:color w:val="auto"/>
        </w:rPr>
        <w:t>olicy.</w:t>
      </w:r>
    </w:p>
    <w:p w14:paraId="59F7E6F8" w14:textId="77777777" w:rsidR="00D40328" w:rsidRPr="00C804CF" w:rsidRDefault="00D40328" w:rsidP="00555C9E">
      <w:pPr>
        <w:rPr>
          <w:rFonts w:ascii="Verdana" w:hAnsi="Verdana"/>
          <w:color w:val="auto"/>
        </w:rPr>
      </w:pPr>
    </w:p>
    <w:p w14:paraId="71DD00DE" w14:textId="77777777" w:rsidR="00555C9E" w:rsidRPr="00631A1E" w:rsidRDefault="00E75D9F" w:rsidP="00555C9E">
      <w:pPr>
        <w:rPr>
          <w:rFonts w:ascii="Verdana" w:hAnsi="Verdana"/>
          <w:color w:val="FF0000"/>
        </w:rPr>
      </w:pPr>
      <w:r w:rsidRPr="00C804CF">
        <w:rPr>
          <w:rFonts w:ascii="Verdana" w:hAnsi="Verdana"/>
          <w:color w:val="auto"/>
        </w:rPr>
        <w:t>Equitable Tenancies are</w:t>
      </w:r>
      <w:r w:rsidR="00555C9E" w:rsidRPr="00C804CF">
        <w:rPr>
          <w:rFonts w:ascii="Verdana" w:hAnsi="Verdana"/>
          <w:color w:val="auto"/>
        </w:rPr>
        <w:t xml:space="preserve"> a positive mechanism for preparing and easing </w:t>
      </w:r>
      <w:r w:rsidRPr="00C804CF">
        <w:rPr>
          <w:rFonts w:ascii="Verdana" w:hAnsi="Verdana"/>
          <w:color w:val="auto"/>
        </w:rPr>
        <w:t>c</w:t>
      </w:r>
      <w:r w:rsidR="00555C9E" w:rsidRPr="00C804CF">
        <w:rPr>
          <w:rFonts w:ascii="Verdana" w:hAnsi="Verdana"/>
          <w:color w:val="auto"/>
        </w:rPr>
        <w:t xml:space="preserve">are </w:t>
      </w:r>
      <w:r w:rsidRPr="00C804CF">
        <w:rPr>
          <w:rFonts w:ascii="Verdana" w:hAnsi="Verdana"/>
          <w:color w:val="auto"/>
        </w:rPr>
        <w:t>l</w:t>
      </w:r>
      <w:r w:rsidR="00555C9E" w:rsidRPr="00C804CF">
        <w:rPr>
          <w:rFonts w:ascii="Verdana" w:hAnsi="Verdana"/>
          <w:color w:val="auto"/>
        </w:rPr>
        <w:t xml:space="preserve">eavers into their own independent accommodation, </w:t>
      </w:r>
      <w:r w:rsidR="00631A1E" w:rsidRPr="00C804CF">
        <w:rPr>
          <w:rFonts w:ascii="Verdana" w:hAnsi="Verdana"/>
          <w:color w:val="auto"/>
        </w:rPr>
        <w:t xml:space="preserve">enabling sustainment of </w:t>
      </w:r>
      <w:proofErr w:type="gramStart"/>
      <w:r w:rsidR="00631A1E" w:rsidRPr="00C804CF">
        <w:rPr>
          <w:rFonts w:ascii="Verdana" w:hAnsi="Verdana"/>
          <w:color w:val="auto"/>
        </w:rPr>
        <w:t>first time</w:t>
      </w:r>
      <w:proofErr w:type="gramEnd"/>
      <w:r w:rsidR="00631A1E" w:rsidRPr="00C804CF">
        <w:rPr>
          <w:rFonts w:ascii="Verdana" w:hAnsi="Verdana"/>
          <w:color w:val="auto"/>
        </w:rPr>
        <w:t xml:space="preserve"> tenancies </w:t>
      </w:r>
      <w:r w:rsidR="00631A1E">
        <w:rPr>
          <w:rFonts w:ascii="Verdana" w:hAnsi="Verdana"/>
          <w:color w:val="auto"/>
        </w:rPr>
        <w:t xml:space="preserve">and </w:t>
      </w:r>
      <w:r w:rsidR="00555C9E" w:rsidRPr="00C804CF">
        <w:rPr>
          <w:rFonts w:ascii="Verdana" w:hAnsi="Verdana"/>
          <w:color w:val="auto"/>
        </w:rPr>
        <w:t>preventing potential homelessness</w:t>
      </w:r>
      <w:r w:rsidR="00631A1E">
        <w:rPr>
          <w:rFonts w:ascii="Verdana" w:hAnsi="Verdana"/>
          <w:color w:val="auto"/>
        </w:rPr>
        <w:t xml:space="preserve">: </w:t>
      </w:r>
      <w:r w:rsidR="00631A1E" w:rsidRPr="00260DE5">
        <w:rPr>
          <w:rFonts w:ascii="Verdana" w:hAnsi="Verdana"/>
          <w:color w:val="auto"/>
        </w:rPr>
        <w:t>young people are one of the five key priorities in the countywide homelessness strategy “Preventing homelessness in Warwickshire: a multi-agency approach”.</w:t>
      </w:r>
    </w:p>
    <w:p w14:paraId="467735CA" w14:textId="77777777" w:rsidR="00555C9E" w:rsidRPr="00C804CF" w:rsidRDefault="00555C9E" w:rsidP="00555C9E">
      <w:pPr>
        <w:rPr>
          <w:rFonts w:ascii="Verdana" w:hAnsi="Verdana"/>
          <w:color w:val="auto"/>
        </w:rPr>
      </w:pPr>
    </w:p>
    <w:p w14:paraId="66576B02" w14:textId="7247E4D0" w:rsidR="00555C9E" w:rsidRDefault="00E75D9F" w:rsidP="00555C9E">
      <w:pPr>
        <w:rPr>
          <w:rFonts w:ascii="Verdana" w:hAnsi="Verdana"/>
        </w:rPr>
      </w:pPr>
      <w:r w:rsidRPr="00C804CF">
        <w:rPr>
          <w:rFonts w:ascii="Verdana" w:hAnsi="Verdana"/>
          <w:color w:val="auto"/>
        </w:rPr>
        <w:t xml:space="preserve">At present this is a </w:t>
      </w:r>
      <w:r w:rsidR="00963205">
        <w:rPr>
          <w:rFonts w:ascii="Verdana" w:hAnsi="Verdana"/>
          <w:color w:val="auto"/>
        </w:rPr>
        <w:t>Public Registered Provider scheme,</w:t>
      </w:r>
      <w:r w:rsidRPr="00C804CF">
        <w:rPr>
          <w:rFonts w:ascii="Verdana" w:hAnsi="Verdana"/>
          <w:color w:val="auto"/>
        </w:rPr>
        <w:t xml:space="preserve"> but Private Registered Providers are strongly encouraged to engage with </w:t>
      </w:r>
      <w:r w:rsidR="00E47C7D" w:rsidRPr="00C804CF">
        <w:rPr>
          <w:rFonts w:ascii="Verdana" w:hAnsi="Verdana"/>
          <w:color w:val="auto"/>
        </w:rPr>
        <w:t xml:space="preserve">local authority partners to consider adopting such a scheme </w:t>
      </w:r>
      <w:proofErr w:type="gramStart"/>
      <w:r w:rsidR="00E47C7D" w:rsidRPr="00C804CF">
        <w:rPr>
          <w:rFonts w:ascii="Verdana" w:hAnsi="Verdana"/>
          <w:color w:val="auto"/>
        </w:rPr>
        <w:t>in order to</w:t>
      </w:r>
      <w:proofErr w:type="gramEnd"/>
      <w:r w:rsidR="00555C9E" w:rsidRPr="00C804CF">
        <w:rPr>
          <w:rFonts w:ascii="Verdana" w:hAnsi="Verdana"/>
          <w:color w:val="auto"/>
        </w:rPr>
        <w:t xml:space="preserve"> increase the availability of </w:t>
      </w:r>
      <w:r w:rsidR="00E47C7D" w:rsidRPr="00C804CF">
        <w:rPr>
          <w:rFonts w:ascii="Verdana" w:hAnsi="Verdana"/>
          <w:color w:val="auto"/>
        </w:rPr>
        <w:t>one-</w:t>
      </w:r>
      <w:r w:rsidR="00555C9E" w:rsidRPr="00C804CF">
        <w:rPr>
          <w:rFonts w:ascii="Verdana" w:hAnsi="Verdana"/>
          <w:color w:val="auto"/>
        </w:rPr>
        <w:t>bed</w:t>
      </w:r>
      <w:r w:rsidR="00E47C7D" w:rsidRPr="00C804CF">
        <w:rPr>
          <w:rFonts w:ascii="Verdana" w:hAnsi="Verdana"/>
          <w:color w:val="auto"/>
        </w:rPr>
        <w:t>room properties</w:t>
      </w:r>
      <w:r w:rsidR="00555C9E" w:rsidRPr="00C804CF">
        <w:rPr>
          <w:rFonts w:ascii="Verdana" w:hAnsi="Verdana"/>
          <w:color w:val="auto"/>
        </w:rPr>
        <w:t xml:space="preserve"> for the rehousing of </w:t>
      </w:r>
      <w:r w:rsidR="00E47C7D" w:rsidRPr="00C804CF">
        <w:rPr>
          <w:rFonts w:ascii="Verdana" w:hAnsi="Verdana"/>
          <w:color w:val="auto"/>
        </w:rPr>
        <w:t>c</w:t>
      </w:r>
      <w:r w:rsidR="00555C9E" w:rsidRPr="00C804CF">
        <w:rPr>
          <w:rFonts w:ascii="Verdana" w:hAnsi="Verdana"/>
          <w:color w:val="auto"/>
        </w:rPr>
        <w:t xml:space="preserve">are </w:t>
      </w:r>
      <w:r w:rsidR="00E47C7D" w:rsidRPr="00C804CF">
        <w:rPr>
          <w:rFonts w:ascii="Verdana" w:hAnsi="Verdana"/>
          <w:color w:val="auto"/>
        </w:rPr>
        <w:t>l</w:t>
      </w:r>
      <w:r w:rsidR="00555C9E" w:rsidRPr="00C804CF">
        <w:rPr>
          <w:rFonts w:ascii="Verdana" w:hAnsi="Verdana"/>
          <w:color w:val="auto"/>
        </w:rPr>
        <w:t>eavers.</w:t>
      </w:r>
    </w:p>
    <w:p w14:paraId="42B129C2" w14:textId="77777777" w:rsidR="00555C9E" w:rsidRDefault="00555C9E">
      <w:pPr>
        <w:rPr>
          <w:rFonts w:ascii="Verdana" w:hAnsi="Verdana"/>
        </w:rPr>
      </w:pPr>
      <w:r>
        <w:rPr>
          <w:rFonts w:ascii="Verdana" w:hAnsi="Verdana"/>
        </w:rPr>
        <w:br w:type="page"/>
      </w:r>
    </w:p>
    <w:p w14:paraId="219BBEE3" w14:textId="1A867959" w:rsidR="001E4679" w:rsidRPr="001E4679" w:rsidRDefault="00B0362D" w:rsidP="001E4679">
      <w:pPr>
        <w:rPr>
          <w:rFonts w:ascii="Verdana" w:hAnsi="Verdana"/>
        </w:rPr>
      </w:pPr>
      <w:r>
        <w:rPr>
          <w:rFonts w:ascii="Verdana" w:hAnsi="Verdana"/>
          <w:b/>
          <w:sz w:val="28"/>
          <w:szCs w:val="28"/>
        </w:rPr>
        <w:lastRenderedPageBreak/>
        <w:t>6</w:t>
      </w:r>
      <w:r w:rsidR="00153E4D">
        <w:rPr>
          <w:rFonts w:ascii="Verdana" w:hAnsi="Verdana"/>
          <w:b/>
          <w:sz w:val="28"/>
          <w:szCs w:val="28"/>
        </w:rPr>
        <w:tab/>
      </w:r>
      <w:r w:rsidR="001E4679" w:rsidRPr="00776C05">
        <w:rPr>
          <w:rFonts w:ascii="Verdana" w:hAnsi="Verdana"/>
          <w:b/>
          <w:sz w:val="28"/>
          <w:szCs w:val="28"/>
        </w:rPr>
        <w:t>Review of th</w:t>
      </w:r>
      <w:r w:rsidR="006C79A8">
        <w:rPr>
          <w:rFonts w:ascii="Verdana" w:hAnsi="Verdana"/>
          <w:b/>
          <w:sz w:val="28"/>
          <w:szCs w:val="28"/>
        </w:rPr>
        <w:t>e</w:t>
      </w:r>
      <w:r w:rsidR="001E4679" w:rsidRPr="00776C05">
        <w:rPr>
          <w:rFonts w:ascii="Verdana" w:hAnsi="Verdana"/>
          <w:b/>
          <w:sz w:val="28"/>
          <w:szCs w:val="28"/>
        </w:rPr>
        <w:t xml:space="preserve"> Tenancy Strategy </w:t>
      </w:r>
    </w:p>
    <w:p w14:paraId="6EF6C1E9" w14:textId="77777777" w:rsidR="00776C05" w:rsidRDefault="00776C05" w:rsidP="001E4679">
      <w:pPr>
        <w:rPr>
          <w:rFonts w:ascii="Verdana" w:hAnsi="Verdana"/>
        </w:rPr>
      </w:pPr>
    </w:p>
    <w:p w14:paraId="0B79F15F" w14:textId="5C03E628" w:rsidR="001E4679" w:rsidRDefault="001E4679" w:rsidP="001E4679">
      <w:pPr>
        <w:rPr>
          <w:rFonts w:ascii="Verdana" w:hAnsi="Verdana"/>
        </w:rPr>
      </w:pPr>
      <w:r w:rsidRPr="001E4679">
        <w:rPr>
          <w:rFonts w:ascii="Verdana" w:hAnsi="Verdana"/>
        </w:rPr>
        <w:t>Th</w:t>
      </w:r>
      <w:r w:rsidR="00963205">
        <w:rPr>
          <w:rFonts w:ascii="Verdana" w:hAnsi="Verdana"/>
        </w:rPr>
        <w:t>is Tenancy</w:t>
      </w:r>
      <w:r w:rsidRPr="001E4679">
        <w:rPr>
          <w:rFonts w:ascii="Verdana" w:hAnsi="Verdana"/>
        </w:rPr>
        <w:t xml:space="preserve"> Strategy will be reviewed</w:t>
      </w:r>
      <w:r w:rsidR="00776C05">
        <w:rPr>
          <w:rFonts w:ascii="Verdana" w:hAnsi="Verdana"/>
        </w:rPr>
        <w:t xml:space="preserve"> periodically by the Heads of Housing of the Councils</w:t>
      </w:r>
      <w:r w:rsidRPr="001E4679">
        <w:rPr>
          <w:rFonts w:ascii="Verdana" w:hAnsi="Verdana"/>
        </w:rPr>
        <w:t xml:space="preserve">. The next review will take place in </w:t>
      </w:r>
      <w:r w:rsidR="00D40328">
        <w:rPr>
          <w:rFonts w:ascii="Verdana" w:hAnsi="Verdana"/>
        </w:rPr>
        <w:t>2026.</w:t>
      </w:r>
      <w:r w:rsidRPr="001E4679">
        <w:rPr>
          <w:rFonts w:ascii="Verdana" w:hAnsi="Verdana"/>
        </w:rPr>
        <w:t xml:space="preserve"> </w:t>
      </w:r>
    </w:p>
    <w:p w14:paraId="602D8860" w14:textId="77777777" w:rsidR="001E4679" w:rsidRPr="001E4679" w:rsidRDefault="001E4679" w:rsidP="001E4679">
      <w:pPr>
        <w:rPr>
          <w:rFonts w:ascii="Verdana" w:hAnsi="Verdana"/>
        </w:rPr>
      </w:pPr>
    </w:p>
    <w:p w14:paraId="4DD5B3ED" w14:textId="77777777" w:rsidR="001E4679" w:rsidRPr="0024648D" w:rsidRDefault="001E4679" w:rsidP="001E4679">
      <w:pPr>
        <w:rPr>
          <w:rFonts w:ascii="Verdana" w:hAnsi="Verdana"/>
        </w:rPr>
      </w:pPr>
      <w:r w:rsidRPr="001E4679">
        <w:rPr>
          <w:rFonts w:ascii="Verdana" w:hAnsi="Verdana"/>
        </w:rPr>
        <w:t xml:space="preserve">We welcome comments at any time from residents, tenants, people applying for and wanting to apply for social housing, local community bodies and </w:t>
      </w:r>
      <w:r w:rsidR="00776C05">
        <w:rPr>
          <w:rFonts w:ascii="Verdana" w:hAnsi="Verdana"/>
        </w:rPr>
        <w:t>Private Registered Providers</w:t>
      </w:r>
      <w:r w:rsidRPr="001E4679">
        <w:rPr>
          <w:rFonts w:ascii="Verdana" w:hAnsi="Verdana"/>
        </w:rPr>
        <w:t xml:space="preserve"> on how the strategy is working</w:t>
      </w:r>
      <w:r w:rsidR="00776C05">
        <w:rPr>
          <w:rFonts w:ascii="Verdana" w:hAnsi="Verdana"/>
        </w:rPr>
        <w:t>,</w:t>
      </w:r>
      <w:r w:rsidRPr="001E4679">
        <w:rPr>
          <w:rFonts w:ascii="Verdana" w:hAnsi="Verdana"/>
        </w:rPr>
        <w:t xml:space="preserve"> to help inform and shape the outcome of the next review. Comments and ideas can be sent at any time to your local authority’s housing department. Contact details can be found in Section Six of this strategy.</w:t>
      </w:r>
    </w:p>
    <w:p w14:paraId="1A6457E7" w14:textId="77777777" w:rsidR="004A0181" w:rsidRDefault="004A0181" w:rsidP="004A0181">
      <w:pPr>
        <w:rPr>
          <w:rFonts w:ascii="Verdana" w:hAnsi="Verdana"/>
        </w:rPr>
      </w:pPr>
    </w:p>
    <w:p w14:paraId="168CF35D" w14:textId="347F0A40" w:rsidR="00E21C04" w:rsidRPr="00AF148A" w:rsidRDefault="00B0362D" w:rsidP="00E21C04">
      <w:pPr>
        <w:rPr>
          <w:rFonts w:ascii="Verdana" w:hAnsi="Verdana"/>
          <w:b/>
        </w:rPr>
      </w:pPr>
      <w:r>
        <w:rPr>
          <w:rFonts w:ascii="Verdana" w:hAnsi="Verdana"/>
          <w:b/>
          <w:sz w:val="28"/>
          <w:szCs w:val="28"/>
        </w:rPr>
        <w:t>7</w:t>
      </w:r>
      <w:r w:rsidR="00E21C04" w:rsidRPr="00AF148A">
        <w:rPr>
          <w:rFonts w:ascii="Verdana" w:hAnsi="Verdana"/>
          <w:b/>
          <w:sz w:val="28"/>
          <w:szCs w:val="28"/>
        </w:rPr>
        <w:tab/>
        <w:t>Contact details</w:t>
      </w:r>
    </w:p>
    <w:p w14:paraId="38610456" w14:textId="77777777" w:rsidR="00776C05" w:rsidRDefault="00776C05" w:rsidP="00E21C04">
      <w:pPr>
        <w:rPr>
          <w:rFonts w:ascii="Verdana" w:hAnsi="Verdana"/>
        </w:rPr>
      </w:pPr>
    </w:p>
    <w:p w14:paraId="7CF03101" w14:textId="5B938F21" w:rsidR="00E21C04" w:rsidRDefault="00E21C04" w:rsidP="00E21C04">
      <w:pPr>
        <w:rPr>
          <w:rFonts w:ascii="Verdana" w:hAnsi="Verdana"/>
        </w:rPr>
      </w:pPr>
      <w:r>
        <w:rPr>
          <w:rFonts w:ascii="Verdana" w:hAnsi="Verdana"/>
        </w:rPr>
        <w:t>Th</w:t>
      </w:r>
      <w:r w:rsidR="008B0D42">
        <w:rPr>
          <w:rFonts w:ascii="Verdana" w:hAnsi="Verdana"/>
        </w:rPr>
        <w:t>is Tenancy</w:t>
      </w:r>
      <w:r>
        <w:rPr>
          <w:rFonts w:ascii="Verdana" w:hAnsi="Verdana"/>
        </w:rPr>
        <w:t xml:space="preserve"> Strategy will be published on the websites of the </w:t>
      </w:r>
      <w:r w:rsidR="00776C05">
        <w:rPr>
          <w:rFonts w:ascii="Verdana" w:hAnsi="Verdana"/>
        </w:rPr>
        <w:t>Councils</w:t>
      </w:r>
      <w:r w:rsidR="006C79A8">
        <w:rPr>
          <w:rFonts w:ascii="Verdana" w:hAnsi="Verdana"/>
        </w:rPr>
        <w:t xml:space="preserve"> (links below)</w:t>
      </w:r>
      <w:r>
        <w:rPr>
          <w:rFonts w:ascii="Verdana" w:hAnsi="Verdana"/>
        </w:rPr>
        <w:t>.</w:t>
      </w:r>
    </w:p>
    <w:p w14:paraId="2594E46F" w14:textId="77777777" w:rsidR="00E21C04" w:rsidRDefault="00E21C04" w:rsidP="00E21C04">
      <w:pPr>
        <w:rPr>
          <w:rFonts w:ascii="Verdana" w:hAnsi="Verdana"/>
        </w:rPr>
      </w:pPr>
    </w:p>
    <w:p w14:paraId="5C0C2D8C" w14:textId="77777777" w:rsidR="00396789" w:rsidRDefault="00E21C04" w:rsidP="00396789">
      <w:pPr>
        <w:rPr>
          <w:rFonts w:ascii="Verdana" w:hAnsi="Verdana"/>
        </w:rPr>
      </w:pPr>
      <w:r w:rsidRPr="00AF148A">
        <w:rPr>
          <w:rFonts w:ascii="Verdana" w:hAnsi="Verdana"/>
          <w:b/>
        </w:rPr>
        <w:t>Nor</w:t>
      </w:r>
      <w:r w:rsidR="00776C05">
        <w:rPr>
          <w:rFonts w:ascii="Verdana" w:hAnsi="Verdana"/>
          <w:b/>
        </w:rPr>
        <w:t>th Warwickshire Borough Council</w:t>
      </w:r>
      <w:r w:rsidR="00396789">
        <w:rPr>
          <w:rFonts w:ascii="Verdana" w:hAnsi="Verdana"/>
          <w:b/>
        </w:rPr>
        <w:t xml:space="preserve"> </w:t>
      </w:r>
      <w:hyperlink r:id="rId15" w:history="1">
        <w:r w:rsidR="00396789" w:rsidRPr="000C228D">
          <w:rPr>
            <w:rStyle w:val="Hyperlink"/>
            <w:rFonts w:ascii="Verdana" w:hAnsi="Verdana"/>
          </w:rPr>
          <w:t>www.northwarks.gov.uk</w:t>
        </w:r>
      </w:hyperlink>
    </w:p>
    <w:p w14:paraId="5A3C28AD" w14:textId="77777777" w:rsidR="00E21C04" w:rsidRPr="00AF148A" w:rsidRDefault="00E21C04" w:rsidP="00E21C04">
      <w:pPr>
        <w:rPr>
          <w:rFonts w:ascii="Verdana" w:hAnsi="Verdana"/>
        </w:rPr>
      </w:pPr>
      <w:r w:rsidRPr="00AF148A">
        <w:rPr>
          <w:rFonts w:ascii="Verdana" w:hAnsi="Verdana"/>
        </w:rPr>
        <w:t>Paul Roberts</w:t>
      </w:r>
    </w:p>
    <w:p w14:paraId="50F1665D" w14:textId="77777777" w:rsidR="00E21C04" w:rsidRPr="00AF148A" w:rsidRDefault="00E21C04" w:rsidP="00E21C04">
      <w:pPr>
        <w:rPr>
          <w:rFonts w:ascii="Verdana" w:hAnsi="Verdana"/>
        </w:rPr>
      </w:pPr>
      <w:r w:rsidRPr="00AF148A">
        <w:rPr>
          <w:rFonts w:ascii="Verdana" w:hAnsi="Verdana"/>
        </w:rPr>
        <w:t>Housing Strategy and Development Officer</w:t>
      </w:r>
    </w:p>
    <w:p w14:paraId="57F0DEBE" w14:textId="77777777" w:rsidR="00776C05" w:rsidRDefault="00E21C04" w:rsidP="00E21C04">
      <w:pPr>
        <w:rPr>
          <w:rFonts w:ascii="Verdana" w:hAnsi="Verdana"/>
        </w:rPr>
      </w:pPr>
      <w:hyperlink r:id="rId16" w:history="1">
        <w:r w:rsidRPr="00AF148A">
          <w:rPr>
            <w:rStyle w:val="Hyperlink"/>
            <w:rFonts w:ascii="Verdana" w:hAnsi="Verdana"/>
          </w:rPr>
          <w:t>paulroberts@northwarks.gov.uk</w:t>
        </w:r>
      </w:hyperlink>
      <w:r w:rsidRPr="00AF148A">
        <w:rPr>
          <w:rFonts w:ascii="Verdana" w:hAnsi="Verdana"/>
        </w:rPr>
        <w:t xml:space="preserve">     </w:t>
      </w:r>
    </w:p>
    <w:p w14:paraId="4E9DFA83" w14:textId="77777777" w:rsidR="00776C05" w:rsidRDefault="00776C05" w:rsidP="00E21C04">
      <w:pPr>
        <w:rPr>
          <w:rFonts w:ascii="Verdana" w:hAnsi="Verdana"/>
        </w:rPr>
      </w:pPr>
    </w:p>
    <w:p w14:paraId="1DA0451D" w14:textId="77777777" w:rsidR="00E21C04" w:rsidRPr="00AF148A" w:rsidRDefault="00E21C04" w:rsidP="00E21C04">
      <w:pPr>
        <w:rPr>
          <w:rFonts w:ascii="Verdana" w:hAnsi="Verdana"/>
          <w:b/>
        </w:rPr>
      </w:pPr>
      <w:r w:rsidRPr="00AF148A">
        <w:rPr>
          <w:rFonts w:ascii="Verdana" w:hAnsi="Verdana"/>
          <w:b/>
        </w:rPr>
        <w:t>Nuneaton &amp; Bedworth Borough Council</w:t>
      </w:r>
      <w:r w:rsidR="00396789">
        <w:rPr>
          <w:rFonts w:ascii="Verdana" w:hAnsi="Verdana"/>
          <w:b/>
        </w:rPr>
        <w:t xml:space="preserve"> </w:t>
      </w:r>
      <w:hyperlink r:id="rId17" w:history="1">
        <w:r w:rsidR="00396789" w:rsidRPr="00AF148A">
          <w:rPr>
            <w:rStyle w:val="Hyperlink"/>
            <w:rFonts w:ascii="Verdana" w:hAnsi="Verdana"/>
          </w:rPr>
          <w:t>www.nuneatonandbedworth.gov.uk</w:t>
        </w:r>
      </w:hyperlink>
    </w:p>
    <w:p w14:paraId="288834FD" w14:textId="6B01CB37" w:rsidR="00776C05" w:rsidRDefault="0072414A" w:rsidP="00E21C04">
      <w:pPr>
        <w:rPr>
          <w:rFonts w:ascii="Verdana" w:hAnsi="Verdana"/>
        </w:rPr>
      </w:pPr>
      <w:r>
        <w:rPr>
          <w:rFonts w:ascii="Verdana" w:hAnsi="Verdana"/>
        </w:rPr>
        <w:t>Nicola Botterill</w:t>
      </w:r>
    </w:p>
    <w:p w14:paraId="0C65A462" w14:textId="4F22CE96" w:rsidR="00024BB4" w:rsidRDefault="0072414A" w:rsidP="00E21C04">
      <w:pPr>
        <w:rPr>
          <w:rFonts w:ascii="Verdana" w:hAnsi="Verdana"/>
        </w:rPr>
      </w:pPr>
      <w:r>
        <w:rPr>
          <w:rFonts w:ascii="Verdana" w:hAnsi="Verdana"/>
        </w:rPr>
        <w:t>Assistant Director – Social Housing and Community Safety</w:t>
      </w:r>
    </w:p>
    <w:p w14:paraId="325FE83E" w14:textId="5BF7C9FC" w:rsidR="00024BB4" w:rsidRDefault="0072414A" w:rsidP="00E21C04">
      <w:pPr>
        <w:rPr>
          <w:rFonts w:ascii="Verdana" w:hAnsi="Verdana"/>
        </w:rPr>
      </w:pPr>
      <w:hyperlink r:id="rId18" w:history="1">
        <w:r w:rsidRPr="007229F2">
          <w:rPr>
            <w:rStyle w:val="Hyperlink"/>
            <w:rFonts w:ascii="Verdana" w:hAnsi="Verdana"/>
          </w:rPr>
          <w:t>Nicola.Botterill@nuneatonandbedworth.gov.uk</w:t>
        </w:r>
      </w:hyperlink>
    </w:p>
    <w:p w14:paraId="245D658C" w14:textId="77777777" w:rsidR="00776C05" w:rsidRDefault="00776C05" w:rsidP="00E21C04">
      <w:pPr>
        <w:rPr>
          <w:rFonts w:ascii="Verdana" w:hAnsi="Verdana"/>
        </w:rPr>
      </w:pPr>
    </w:p>
    <w:p w14:paraId="2E0D693A" w14:textId="77777777" w:rsidR="00E21C04" w:rsidRPr="00AF148A" w:rsidRDefault="00E21C04" w:rsidP="00E21C04">
      <w:pPr>
        <w:rPr>
          <w:rFonts w:ascii="Verdana" w:hAnsi="Verdana"/>
          <w:b/>
        </w:rPr>
      </w:pPr>
      <w:r w:rsidRPr="00AF148A">
        <w:rPr>
          <w:rFonts w:ascii="Verdana" w:hAnsi="Verdana"/>
          <w:b/>
        </w:rPr>
        <w:t>Rugby Borough Council</w:t>
      </w:r>
      <w:r w:rsidR="00396789">
        <w:rPr>
          <w:rFonts w:ascii="Verdana" w:hAnsi="Verdana"/>
          <w:b/>
        </w:rPr>
        <w:t xml:space="preserve"> </w:t>
      </w:r>
      <w:hyperlink r:id="rId19" w:history="1">
        <w:r w:rsidR="00396789" w:rsidRPr="00AF148A">
          <w:rPr>
            <w:rStyle w:val="Hyperlink"/>
            <w:rFonts w:ascii="Verdana" w:hAnsi="Verdana"/>
          </w:rPr>
          <w:t>www.rugby.gov.uk</w:t>
        </w:r>
      </w:hyperlink>
    </w:p>
    <w:p w14:paraId="538AA6D8" w14:textId="420BF9D6" w:rsidR="00776C05" w:rsidRDefault="0072414A" w:rsidP="00E21C04">
      <w:pPr>
        <w:rPr>
          <w:rFonts w:ascii="Verdana" w:hAnsi="Verdana"/>
        </w:rPr>
      </w:pPr>
      <w:r>
        <w:rPr>
          <w:rFonts w:ascii="Verdana" w:hAnsi="Verdana"/>
        </w:rPr>
        <w:t>Daniel Khan</w:t>
      </w:r>
    </w:p>
    <w:p w14:paraId="092F7EF8" w14:textId="43A97A0C" w:rsidR="00024BB4" w:rsidRPr="00024BB4" w:rsidRDefault="0072414A" w:rsidP="00024BB4">
      <w:pPr>
        <w:rPr>
          <w:rFonts w:ascii="Verdana" w:hAnsi="Verdana"/>
        </w:rPr>
      </w:pPr>
      <w:r>
        <w:rPr>
          <w:rFonts w:ascii="Verdana" w:hAnsi="Verdana"/>
        </w:rPr>
        <w:t>Housing Advice and Benefits Manager</w:t>
      </w:r>
    </w:p>
    <w:p w14:paraId="7E26A30B" w14:textId="205D6471" w:rsidR="00024BB4" w:rsidRDefault="001F10FB" w:rsidP="00E21C04">
      <w:pPr>
        <w:rPr>
          <w:rFonts w:ascii="Verdana" w:hAnsi="Verdana"/>
        </w:rPr>
      </w:pPr>
      <w:hyperlink r:id="rId20" w:history="1">
        <w:r w:rsidRPr="007229F2">
          <w:rPr>
            <w:rStyle w:val="Hyperlink"/>
            <w:rFonts w:ascii="Verdana" w:hAnsi="Verdana"/>
          </w:rPr>
          <w:t>Daniel.Khan@rugby.gov.uk</w:t>
        </w:r>
      </w:hyperlink>
    </w:p>
    <w:p w14:paraId="2B49CA9E" w14:textId="77777777" w:rsidR="00776C05" w:rsidRDefault="00776C05" w:rsidP="00E21C04">
      <w:pPr>
        <w:rPr>
          <w:rFonts w:ascii="Verdana" w:hAnsi="Verdana"/>
        </w:rPr>
      </w:pPr>
    </w:p>
    <w:p w14:paraId="48EEDF59" w14:textId="77777777" w:rsidR="00E21C04" w:rsidRPr="00AF148A" w:rsidRDefault="00E21C04" w:rsidP="00E21C04">
      <w:pPr>
        <w:rPr>
          <w:rFonts w:ascii="Verdana" w:hAnsi="Verdana"/>
          <w:b/>
        </w:rPr>
      </w:pPr>
      <w:r w:rsidRPr="00AF148A">
        <w:rPr>
          <w:rFonts w:ascii="Verdana" w:hAnsi="Verdana"/>
          <w:b/>
        </w:rPr>
        <w:t>Warwick District Council</w:t>
      </w:r>
      <w:r w:rsidR="00396789">
        <w:rPr>
          <w:rFonts w:ascii="Verdana" w:hAnsi="Verdana"/>
          <w:b/>
        </w:rPr>
        <w:t xml:space="preserve"> </w:t>
      </w:r>
      <w:hyperlink r:id="rId21" w:history="1">
        <w:r w:rsidR="00396789" w:rsidRPr="000C228D">
          <w:rPr>
            <w:rStyle w:val="Hyperlink"/>
            <w:rFonts w:ascii="Verdana" w:hAnsi="Verdana"/>
          </w:rPr>
          <w:t>www.warwickdc.gov.uk</w:t>
        </w:r>
      </w:hyperlink>
    </w:p>
    <w:p w14:paraId="0EFB2BE8" w14:textId="77777777" w:rsidR="00E21C04" w:rsidRDefault="00024BB4" w:rsidP="002F2714">
      <w:pPr>
        <w:rPr>
          <w:rFonts w:ascii="Verdana" w:hAnsi="Verdana"/>
        </w:rPr>
      </w:pPr>
      <w:r>
        <w:rPr>
          <w:rFonts w:ascii="Verdana" w:hAnsi="Verdana"/>
        </w:rPr>
        <w:t>Sally Kelsall</w:t>
      </w:r>
    </w:p>
    <w:p w14:paraId="54D01D33" w14:textId="601ADED2" w:rsidR="00024BB4" w:rsidRDefault="00024BB4" w:rsidP="002F2714">
      <w:pPr>
        <w:rPr>
          <w:rFonts w:ascii="Verdana" w:hAnsi="Verdana"/>
        </w:rPr>
      </w:pPr>
      <w:r w:rsidRPr="00024BB4">
        <w:rPr>
          <w:rFonts w:ascii="Verdana" w:hAnsi="Verdana"/>
        </w:rPr>
        <w:t xml:space="preserve">Housing Strategy and </w:t>
      </w:r>
      <w:r w:rsidR="00D40328">
        <w:rPr>
          <w:rFonts w:ascii="Verdana" w:hAnsi="Verdana"/>
        </w:rPr>
        <w:t xml:space="preserve">Enabling </w:t>
      </w:r>
      <w:r w:rsidRPr="00024BB4">
        <w:rPr>
          <w:rFonts w:ascii="Verdana" w:hAnsi="Verdana"/>
        </w:rPr>
        <w:t>Manager</w:t>
      </w:r>
    </w:p>
    <w:p w14:paraId="4EFD1707" w14:textId="77777777" w:rsidR="00024BB4" w:rsidRDefault="00024BB4" w:rsidP="002F2714">
      <w:pPr>
        <w:rPr>
          <w:rFonts w:ascii="Verdana" w:hAnsi="Verdana"/>
        </w:rPr>
      </w:pPr>
      <w:hyperlink r:id="rId22" w:history="1">
        <w:r w:rsidRPr="00F52B68">
          <w:rPr>
            <w:rStyle w:val="Hyperlink"/>
            <w:rFonts w:ascii="Verdana" w:hAnsi="Verdana"/>
          </w:rPr>
          <w:t>Sally.kelsall@warwickdc.gov.uk</w:t>
        </w:r>
      </w:hyperlink>
    </w:p>
    <w:p w14:paraId="5E6937CA" w14:textId="77777777" w:rsidR="00024BB4" w:rsidRDefault="00024BB4" w:rsidP="002F2714">
      <w:pPr>
        <w:rPr>
          <w:rFonts w:ascii="Verdana" w:hAnsi="Verdana"/>
        </w:rPr>
      </w:pPr>
    </w:p>
    <w:p w14:paraId="058E2ED5" w14:textId="7998B5C8" w:rsidR="00396789" w:rsidRPr="00270D4E" w:rsidRDefault="00396789" w:rsidP="002F2714">
      <w:pPr>
        <w:rPr>
          <w:rFonts w:ascii="Verdana" w:hAnsi="Verdana"/>
          <w:color w:val="FF0000"/>
        </w:rPr>
      </w:pPr>
    </w:p>
    <w:p w14:paraId="3AA74AD1" w14:textId="77777777" w:rsidR="008F5D8B" w:rsidRPr="005522F4" w:rsidRDefault="00665D70" w:rsidP="00B647B7">
      <w:pPr>
        <w:rPr>
          <w:rFonts w:ascii="Verdana" w:hAnsi="Verdana"/>
          <w:b/>
        </w:rPr>
      </w:pPr>
      <w:r>
        <w:rPr>
          <w:rFonts w:ascii="Verdana" w:hAnsi="Verdana"/>
        </w:rPr>
        <w:br w:type="page"/>
      </w:r>
      <w:r w:rsidR="00632042" w:rsidRPr="005522F4">
        <w:rPr>
          <w:rFonts w:ascii="Verdana" w:hAnsi="Verdana"/>
          <w:b/>
        </w:rPr>
        <w:lastRenderedPageBreak/>
        <w:t>Appendix one – The Designated Area</w:t>
      </w:r>
    </w:p>
    <w:p w14:paraId="3EEDF88F" w14:textId="77777777" w:rsidR="00632042" w:rsidRDefault="00632042" w:rsidP="00B647B7">
      <w:pPr>
        <w:rPr>
          <w:rFonts w:ascii="Verdana" w:hAnsi="Verdana"/>
        </w:rPr>
      </w:pPr>
    </w:p>
    <w:p w14:paraId="4A656E79" w14:textId="77777777" w:rsidR="00383A80" w:rsidRDefault="00383A80" w:rsidP="00B647B7">
      <w:pPr>
        <w:rPr>
          <w:rFonts w:ascii="Verdana" w:hAnsi="Verdana"/>
        </w:rPr>
      </w:pPr>
      <w:r>
        <w:rPr>
          <w:rFonts w:ascii="Verdana" w:hAnsi="Verdana"/>
          <w:noProof/>
        </w:rPr>
        <w:drawing>
          <wp:inline distT="0" distB="0" distL="0" distR="0" wp14:anchorId="75C5CABD" wp14:editId="3FFF9E62">
            <wp:extent cx="6300470" cy="661479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9FFE.tmp"/>
                    <pic:cNvPicPr/>
                  </pic:nvPicPr>
                  <pic:blipFill>
                    <a:blip r:embed="rId23">
                      <a:extLst>
                        <a:ext uri="{28A0092B-C50C-407E-A947-70E740481C1C}">
                          <a14:useLocalDpi xmlns:a14="http://schemas.microsoft.com/office/drawing/2010/main" val="0"/>
                        </a:ext>
                      </a:extLst>
                    </a:blip>
                    <a:stretch>
                      <a:fillRect/>
                    </a:stretch>
                  </pic:blipFill>
                  <pic:spPr>
                    <a:xfrm>
                      <a:off x="0" y="0"/>
                      <a:ext cx="6300470" cy="6614795"/>
                    </a:xfrm>
                    <a:prstGeom prst="rect">
                      <a:avLst/>
                    </a:prstGeom>
                  </pic:spPr>
                </pic:pic>
              </a:graphicData>
            </a:graphic>
          </wp:inline>
        </w:drawing>
      </w:r>
    </w:p>
    <w:p w14:paraId="304C00B5" w14:textId="77777777" w:rsidR="00383A80" w:rsidRPr="00383A80" w:rsidRDefault="00383A80" w:rsidP="00383A80">
      <w:pPr>
        <w:rPr>
          <w:rFonts w:ascii="Verdana" w:hAnsi="Verdana"/>
        </w:rPr>
      </w:pPr>
    </w:p>
    <w:p w14:paraId="6EC3F70B" w14:textId="77777777" w:rsidR="00383A80" w:rsidRDefault="00383A80" w:rsidP="00383A80">
      <w:pPr>
        <w:rPr>
          <w:rFonts w:ascii="Verdana" w:hAnsi="Verdana"/>
        </w:rPr>
      </w:pPr>
    </w:p>
    <w:p w14:paraId="6EE95249" w14:textId="77777777" w:rsidR="00383A80" w:rsidRDefault="00383A80" w:rsidP="00383A80">
      <w:pPr>
        <w:tabs>
          <w:tab w:val="left" w:pos="467"/>
        </w:tabs>
        <w:rPr>
          <w:rFonts w:ascii="Verdana" w:hAnsi="Verdana"/>
        </w:rPr>
      </w:pPr>
      <w:r>
        <w:rPr>
          <w:rFonts w:ascii="Verdana" w:hAnsi="Verdana"/>
        </w:rPr>
        <w:tab/>
      </w:r>
    </w:p>
    <w:p w14:paraId="0806ACF0" w14:textId="77777777" w:rsidR="00383A80" w:rsidRDefault="00383A80">
      <w:pPr>
        <w:rPr>
          <w:rFonts w:ascii="Verdana" w:hAnsi="Verdana"/>
        </w:rPr>
      </w:pPr>
      <w:r>
        <w:rPr>
          <w:rFonts w:ascii="Verdana" w:hAnsi="Verdana"/>
        </w:rPr>
        <w:br w:type="page"/>
      </w:r>
    </w:p>
    <w:p w14:paraId="032534C1" w14:textId="48CA888C" w:rsidR="00632042" w:rsidRPr="00177C82" w:rsidRDefault="00383A80" w:rsidP="00383A80">
      <w:pPr>
        <w:tabs>
          <w:tab w:val="left" w:pos="467"/>
        </w:tabs>
        <w:rPr>
          <w:rFonts w:ascii="Verdana" w:hAnsi="Verdana"/>
          <w:b/>
        </w:rPr>
      </w:pPr>
      <w:r w:rsidRPr="00177C82">
        <w:rPr>
          <w:rFonts w:ascii="Verdana" w:hAnsi="Verdana"/>
          <w:b/>
        </w:rPr>
        <w:lastRenderedPageBreak/>
        <w:t xml:space="preserve">Appendix two </w:t>
      </w:r>
      <w:r w:rsidR="005522F4" w:rsidRPr="00177C82">
        <w:rPr>
          <w:rFonts w:ascii="Verdana" w:hAnsi="Verdana"/>
          <w:b/>
        </w:rPr>
        <w:t>–</w:t>
      </w:r>
      <w:r w:rsidRPr="00177C82">
        <w:rPr>
          <w:rFonts w:ascii="Verdana" w:hAnsi="Verdana"/>
          <w:b/>
        </w:rPr>
        <w:t xml:space="preserve"> </w:t>
      </w:r>
      <w:r w:rsidR="009A202D">
        <w:rPr>
          <w:rFonts w:ascii="Verdana" w:hAnsi="Verdana"/>
          <w:b/>
        </w:rPr>
        <w:t>R</w:t>
      </w:r>
      <w:r w:rsidR="009A202D" w:rsidRPr="00177C82">
        <w:rPr>
          <w:rFonts w:ascii="Verdana" w:hAnsi="Verdana"/>
          <w:b/>
        </w:rPr>
        <w:t xml:space="preserve">ented </w:t>
      </w:r>
      <w:r w:rsidR="009A202D">
        <w:rPr>
          <w:rFonts w:ascii="Verdana" w:hAnsi="Verdana"/>
          <w:b/>
        </w:rPr>
        <w:t>s</w:t>
      </w:r>
      <w:r w:rsidR="005522F4" w:rsidRPr="00177C82">
        <w:rPr>
          <w:rFonts w:ascii="Verdana" w:hAnsi="Verdana"/>
          <w:b/>
        </w:rPr>
        <w:t xml:space="preserve">ocial housing in the </w:t>
      </w:r>
      <w:r w:rsidR="00803B64">
        <w:rPr>
          <w:rFonts w:ascii="Verdana" w:hAnsi="Verdana"/>
          <w:b/>
        </w:rPr>
        <w:t>D</w:t>
      </w:r>
      <w:r w:rsidR="005522F4" w:rsidRPr="00177C82">
        <w:rPr>
          <w:rFonts w:ascii="Verdana" w:hAnsi="Verdana"/>
          <w:b/>
        </w:rPr>
        <w:t xml:space="preserve">esignated </w:t>
      </w:r>
      <w:r w:rsidR="00803B64">
        <w:rPr>
          <w:rFonts w:ascii="Verdana" w:hAnsi="Verdana"/>
          <w:b/>
        </w:rPr>
        <w:t>A</w:t>
      </w:r>
      <w:r w:rsidR="005522F4" w:rsidRPr="00177C82">
        <w:rPr>
          <w:rFonts w:ascii="Verdana" w:hAnsi="Verdana"/>
          <w:b/>
        </w:rPr>
        <w:t>rea</w:t>
      </w:r>
      <w:r w:rsidR="00D616A1">
        <w:rPr>
          <w:rFonts w:ascii="Verdana" w:hAnsi="Verdana"/>
          <w:b/>
        </w:rPr>
        <w:t xml:space="preserve"> as </w:t>
      </w:r>
      <w:r w:rsidR="00363FD0">
        <w:rPr>
          <w:rFonts w:ascii="Verdana" w:hAnsi="Verdana"/>
          <w:b/>
        </w:rPr>
        <w:t>of</w:t>
      </w:r>
      <w:r w:rsidR="00D616A1">
        <w:rPr>
          <w:rFonts w:ascii="Verdana" w:hAnsi="Verdana"/>
          <w:b/>
        </w:rPr>
        <w:t xml:space="preserve"> 31</w:t>
      </w:r>
      <w:r w:rsidR="00D616A1" w:rsidRPr="00D616A1">
        <w:rPr>
          <w:rFonts w:ascii="Verdana" w:hAnsi="Verdana"/>
          <w:b/>
          <w:vertAlign w:val="superscript"/>
        </w:rPr>
        <w:t>st</w:t>
      </w:r>
      <w:r w:rsidR="00D616A1">
        <w:rPr>
          <w:rFonts w:ascii="Verdana" w:hAnsi="Verdana"/>
          <w:b/>
        </w:rPr>
        <w:t xml:space="preserve"> March 20</w:t>
      </w:r>
      <w:r w:rsidR="00057138">
        <w:rPr>
          <w:rFonts w:ascii="Verdana" w:hAnsi="Verdana"/>
          <w:b/>
        </w:rPr>
        <w:t>23</w:t>
      </w:r>
    </w:p>
    <w:p w14:paraId="4565811E" w14:textId="77777777" w:rsidR="005522F4" w:rsidRDefault="005522F4" w:rsidP="00383A80">
      <w:pPr>
        <w:tabs>
          <w:tab w:val="left" w:pos="467"/>
        </w:tabs>
        <w:rPr>
          <w:rFonts w:ascii="Verdana" w:hAnsi="Verdana"/>
        </w:rPr>
      </w:pPr>
    </w:p>
    <w:p w14:paraId="62172DCC" w14:textId="77777777" w:rsidR="009A202D" w:rsidRPr="009A202D" w:rsidRDefault="009A202D" w:rsidP="009A202D">
      <w:pPr>
        <w:tabs>
          <w:tab w:val="left" w:pos="467"/>
        </w:tabs>
        <w:rPr>
          <w:rFonts w:ascii="Verdana" w:hAnsi="Verdana"/>
          <w:b/>
        </w:rPr>
      </w:pPr>
      <w:r w:rsidRPr="009A202D">
        <w:rPr>
          <w:rFonts w:ascii="Verdana" w:hAnsi="Verdana"/>
          <w:b/>
        </w:rPr>
        <w:t xml:space="preserve">Part </w:t>
      </w:r>
      <w:r>
        <w:rPr>
          <w:rFonts w:ascii="Verdana" w:hAnsi="Verdana"/>
          <w:b/>
        </w:rPr>
        <w:t>one</w:t>
      </w:r>
      <w:r w:rsidRPr="009A202D">
        <w:rPr>
          <w:rFonts w:ascii="Verdana" w:hAnsi="Verdana"/>
          <w:b/>
        </w:rPr>
        <w:t xml:space="preserve"> – </w:t>
      </w:r>
      <w:r>
        <w:rPr>
          <w:rFonts w:ascii="Verdana" w:hAnsi="Verdana"/>
          <w:b/>
        </w:rPr>
        <w:t>Local Housing Authorities</w:t>
      </w:r>
    </w:p>
    <w:p w14:paraId="2E44CA0C" w14:textId="77777777" w:rsidR="009A202D" w:rsidRDefault="009A202D" w:rsidP="009A202D">
      <w:pPr>
        <w:tabs>
          <w:tab w:val="left" w:pos="467"/>
        </w:tabs>
        <w:rPr>
          <w:rFonts w:ascii="Verdana" w:hAnsi="Verdana"/>
        </w:rPr>
      </w:pPr>
    </w:p>
    <w:tbl>
      <w:tblPr>
        <w:tblStyle w:val="TableGrid"/>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3510"/>
        <w:gridCol w:w="2268"/>
      </w:tblGrid>
      <w:tr w:rsidR="009A202D" w:rsidRPr="00C308B1" w14:paraId="0FF13A23" w14:textId="77777777" w:rsidTr="005C6392">
        <w:trPr>
          <w:trHeight w:val="300"/>
          <w:jc w:val="center"/>
        </w:trPr>
        <w:tc>
          <w:tcPr>
            <w:tcW w:w="3510" w:type="dxa"/>
            <w:tcBorders>
              <w:top w:val="single" w:sz="4" w:space="0" w:color="auto"/>
              <w:bottom w:val="single" w:sz="4" w:space="0" w:color="auto"/>
              <w:right w:val="nil"/>
            </w:tcBorders>
            <w:noWrap/>
            <w:hideMark/>
          </w:tcPr>
          <w:p w14:paraId="2007E728" w14:textId="77777777" w:rsidR="009A202D" w:rsidRPr="00C308B1" w:rsidRDefault="009A202D" w:rsidP="008949BE">
            <w:pPr>
              <w:tabs>
                <w:tab w:val="left" w:pos="467"/>
              </w:tabs>
              <w:rPr>
                <w:rFonts w:ascii="Verdana" w:hAnsi="Verdana"/>
                <w:b/>
                <w:bCs/>
              </w:rPr>
            </w:pPr>
            <w:r w:rsidRPr="00C308B1">
              <w:rPr>
                <w:rFonts w:ascii="Verdana" w:hAnsi="Verdana"/>
                <w:b/>
                <w:bCs/>
              </w:rPr>
              <w:t>Local authority</w:t>
            </w:r>
          </w:p>
        </w:tc>
        <w:tc>
          <w:tcPr>
            <w:tcW w:w="2268" w:type="dxa"/>
            <w:tcBorders>
              <w:top w:val="single" w:sz="4" w:space="0" w:color="auto"/>
              <w:left w:val="nil"/>
              <w:bottom w:val="single" w:sz="4" w:space="0" w:color="auto"/>
            </w:tcBorders>
            <w:noWrap/>
            <w:hideMark/>
          </w:tcPr>
          <w:p w14:paraId="6A3BB73B" w14:textId="77777777" w:rsidR="009A202D" w:rsidRPr="00C308B1" w:rsidRDefault="009A202D" w:rsidP="008949BE">
            <w:pPr>
              <w:tabs>
                <w:tab w:val="left" w:pos="467"/>
              </w:tabs>
              <w:rPr>
                <w:rFonts w:ascii="Verdana" w:hAnsi="Verdana"/>
                <w:b/>
                <w:bCs/>
              </w:rPr>
            </w:pPr>
            <w:r w:rsidRPr="00C308B1">
              <w:rPr>
                <w:rFonts w:ascii="Verdana" w:hAnsi="Verdana"/>
                <w:b/>
                <w:bCs/>
              </w:rPr>
              <w:t>Total stock</w:t>
            </w:r>
          </w:p>
        </w:tc>
      </w:tr>
      <w:tr w:rsidR="009A202D" w:rsidRPr="00C308B1" w14:paraId="3851BE7B" w14:textId="77777777" w:rsidTr="005C6392">
        <w:trPr>
          <w:trHeight w:val="300"/>
          <w:jc w:val="center"/>
        </w:trPr>
        <w:tc>
          <w:tcPr>
            <w:tcW w:w="3510" w:type="dxa"/>
            <w:tcBorders>
              <w:top w:val="single" w:sz="4" w:space="0" w:color="auto"/>
              <w:right w:val="nil"/>
            </w:tcBorders>
            <w:noWrap/>
            <w:hideMark/>
          </w:tcPr>
          <w:p w14:paraId="3450132D" w14:textId="77777777" w:rsidR="009A202D" w:rsidRPr="00C308B1" w:rsidRDefault="009A202D" w:rsidP="008949BE">
            <w:pPr>
              <w:tabs>
                <w:tab w:val="left" w:pos="467"/>
              </w:tabs>
              <w:rPr>
                <w:rFonts w:ascii="Verdana" w:hAnsi="Verdana"/>
              </w:rPr>
            </w:pPr>
            <w:r w:rsidRPr="00C308B1">
              <w:rPr>
                <w:rFonts w:ascii="Verdana" w:hAnsi="Verdana"/>
              </w:rPr>
              <w:t>North Warwickshire</w:t>
            </w:r>
          </w:p>
        </w:tc>
        <w:tc>
          <w:tcPr>
            <w:tcW w:w="2268" w:type="dxa"/>
            <w:tcBorders>
              <w:top w:val="single" w:sz="4" w:space="0" w:color="auto"/>
              <w:left w:val="nil"/>
            </w:tcBorders>
            <w:noWrap/>
            <w:hideMark/>
          </w:tcPr>
          <w:p w14:paraId="7EFC839B" w14:textId="5E6A7E19" w:rsidR="009A202D" w:rsidRPr="00C308B1" w:rsidRDefault="009A202D" w:rsidP="005C6392">
            <w:pPr>
              <w:tabs>
                <w:tab w:val="left" w:pos="467"/>
              </w:tabs>
              <w:jc w:val="right"/>
              <w:rPr>
                <w:rFonts w:ascii="Verdana" w:hAnsi="Verdana"/>
              </w:rPr>
            </w:pPr>
            <w:r w:rsidRPr="00C308B1">
              <w:rPr>
                <w:rFonts w:ascii="Verdana" w:hAnsi="Verdana"/>
              </w:rPr>
              <w:t>2,</w:t>
            </w:r>
            <w:r w:rsidR="00057138">
              <w:rPr>
                <w:rFonts w:ascii="Verdana" w:hAnsi="Verdana"/>
              </w:rPr>
              <w:t>584</w:t>
            </w:r>
          </w:p>
        </w:tc>
      </w:tr>
      <w:tr w:rsidR="009A202D" w:rsidRPr="00C308B1" w14:paraId="56FC818C" w14:textId="77777777" w:rsidTr="005C6392">
        <w:trPr>
          <w:trHeight w:val="300"/>
          <w:jc w:val="center"/>
        </w:trPr>
        <w:tc>
          <w:tcPr>
            <w:tcW w:w="3510" w:type="dxa"/>
            <w:tcBorders>
              <w:right w:val="nil"/>
            </w:tcBorders>
            <w:noWrap/>
            <w:hideMark/>
          </w:tcPr>
          <w:p w14:paraId="33054130" w14:textId="77777777" w:rsidR="009A202D" w:rsidRPr="00C308B1" w:rsidRDefault="009A202D" w:rsidP="008949BE">
            <w:pPr>
              <w:tabs>
                <w:tab w:val="left" w:pos="467"/>
              </w:tabs>
              <w:rPr>
                <w:rFonts w:ascii="Verdana" w:hAnsi="Verdana"/>
              </w:rPr>
            </w:pPr>
            <w:r w:rsidRPr="00C308B1">
              <w:rPr>
                <w:rFonts w:ascii="Verdana" w:hAnsi="Verdana"/>
              </w:rPr>
              <w:t>Nuneaton and Bedworth</w:t>
            </w:r>
          </w:p>
        </w:tc>
        <w:tc>
          <w:tcPr>
            <w:tcW w:w="2268" w:type="dxa"/>
            <w:tcBorders>
              <w:left w:val="nil"/>
            </w:tcBorders>
            <w:noWrap/>
            <w:hideMark/>
          </w:tcPr>
          <w:p w14:paraId="6BA2935F" w14:textId="3B04075A" w:rsidR="009A202D" w:rsidRPr="00C308B1" w:rsidRDefault="009A202D" w:rsidP="005C6392">
            <w:pPr>
              <w:tabs>
                <w:tab w:val="left" w:pos="467"/>
              </w:tabs>
              <w:jc w:val="right"/>
              <w:rPr>
                <w:rFonts w:ascii="Verdana" w:hAnsi="Verdana"/>
              </w:rPr>
            </w:pPr>
            <w:r w:rsidRPr="00C308B1">
              <w:rPr>
                <w:rFonts w:ascii="Verdana" w:hAnsi="Verdana"/>
              </w:rPr>
              <w:t>5,</w:t>
            </w:r>
            <w:r w:rsidR="00057138">
              <w:rPr>
                <w:rFonts w:ascii="Verdana" w:hAnsi="Verdana"/>
              </w:rPr>
              <w:t>630</w:t>
            </w:r>
          </w:p>
        </w:tc>
      </w:tr>
      <w:tr w:rsidR="009A202D" w:rsidRPr="00C308B1" w14:paraId="7B2FF39A" w14:textId="77777777" w:rsidTr="005C6392">
        <w:trPr>
          <w:trHeight w:val="300"/>
          <w:jc w:val="center"/>
        </w:trPr>
        <w:tc>
          <w:tcPr>
            <w:tcW w:w="3510" w:type="dxa"/>
            <w:tcBorders>
              <w:right w:val="nil"/>
            </w:tcBorders>
            <w:noWrap/>
            <w:hideMark/>
          </w:tcPr>
          <w:p w14:paraId="3002B033" w14:textId="77777777" w:rsidR="009A202D" w:rsidRPr="00C308B1" w:rsidRDefault="009A202D" w:rsidP="008949BE">
            <w:pPr>
              <w:tabs>
                <w:tab w:val="left" w:pos="467"/>
              </w:tabs>
              <w:rPr>
                <w:rFonts w:ascii="Verdana" w:hAnsi="Verdana"/>
              </w:rPr>
            </w:pPr>
            <w:r w:rsidRPr="00C308B1">
              <w:rPr>
                <w:rFonts w:ascii="Verdana" w:hAnsi="Verdana"/>
              </w:rPr>
              <w:t>Rugby</w:t>
            </w:r>
          </w:p>
        </w:tc>
        <w:tc>
          <w:tcPr>
            <w:tcW w:w="2268" w:type="dxa"/>
            <w:tcBorders>
              <w:left w:val="nil"/>
            </w:tcBorders>
            <w:noWrap/>
            <w:hideMark/>
          </w:tcPr>
          <w:p w14:paraId="722E7448" w14:textId="12359A84" w:rsidR="009A202D" w:rsidRPr="00C308B1" w:rsidRDefault="009A202D" w:rsidP="005C6392">
            <w:pPr>
              <w:tabs>
                <w:tab w:val="left" w:pos="467"/>
              </w:tabs>
              <w:jc w:val="right"/>
              <w:rPr>
                <w:rFonts w:ascii="Verdana" w:hAnsi="Verdana"/>
              </w:rPr>
            </w:pPr>
            <w:r w:rsidRPr="00C308B1">
              <w:rPr>
                <w:rFonts w:ascii="Verdana" w:hAnsi="Verdana"/>
              </w:rPr>
              <w:t>3,</w:t>
            </w:r>
            <w:r w:rsidR="00057138">
              <w:rPr>
                <w:rFonts w:ascii="Verdana" w:hAnsi="Verdana"/>
              </w:rPr>
              <w:t>687</w:t>
            </w:r>
          </w:p>
        </w:tc>
      </w:tr>
      <w:tr w:rsidR="009A202D" w:rsidRPr="00C308B1" w14:paraId="4B4FFB6D" w14:textId="77777777" w:rsidTr="005C6392">
        <w:trPr>
          <w:trHeight w:val="300"/>
          <w:jc w:val="center"/>
        </w:trPr>
        <w:tc>
          <w:tcPr>
            <w:tcW w:w="3510" w:type="dxa"/>
            <w:tcBorders>
              <w:bottom w:val="single" w:sz="4" w:space="0" w:color="auto"/>
              <w:right w:val="nil"/>
            </w:tcBorders>
            <w:noWrap/>
            <w:hideMark/>
          </w:tcPr>
          <w:p w14:paraId="79A1481D" w14:textId="77777777" w:rsidR="009A202D" w:rsidRPr="00C308B1" w:rsidRDefault="009A202D" w:rsidP="008949BE">
            <w:pPr>
              <w:tabs>
                <w:tab w:val="left" w:pos="467"/>
              </w:tabs>
              <w:rPr>
                <w:rFonts w:ascii="Verdana" w:hAnsi="Verdana"/>
              </w:rPr>
            </w:pPr>
            <w:r w:rsidRPr="00C308B1">
              <w:rPr>
                <w:rFonts w:ascii="Verdana" w:hAnsi="Verdana"/>
              </w:rPr>
              <w:t>Warwick</w:t>
            </w:r>
          </w:p>
        </w:tc>
        <w:tc>
          <w:tcPr>
            <w:tcW w:w="2268" w:type="dxa"/>
            <w:tcBorders>
              <w:left w:val="nil"/>
              <w:bottom w:val="single" w:sz="4" w:space="0" w:color="auto"/>
            </w:tcBorders>
            <w:noWrap/>
            <w:hideMark/>
          </w:tcPr>
          <w:p w14:paraId="3B587367" w14:textId="567D9409" w:rsidR="009A202D" w:rsidRPr="00C308B1" w:rsidRDefault="009A202D" w:rsidP="005C6392">
            <w:pPr>
              <w:tabs>
                <w:tab w:val="left" w:pos="467"/>
              </w:tabs>
              <w:jc w:val="right"/>
              <w:rPr>
                <w:rFonts w:ascii="Verdana" w:hAnsi="Verdana"/>
              </w:rPr>
            </w:pPr>
            <w:r w:rsidRPr="00C308B1">
              <w:rPr>
                <w:rFonts w:ascii="Verdana" w:hAnsi="Verdana"/>
              </w:rPr>
              <w:t>5,</w:t>
            </w:r>
            <w:r w:rsidR="00057138">
              <w:rPr>
                <w:rFonts w:ascii="Verdana" w:hAnsi="Verdana"/>
              </w:rPr>
              <w:t>571</w:t>
            </w:r>
          </w:p>
        </w:tc>
      </w:tr>
      <w:tr w:rsidR="009A202D" w:rsidRPr="00C308B1" w14:paraId="44F80485" w14:textId="77777777" w:rsidTr="005C6392">
        <w:trPr>
          <w:trHeight w:val="300"/>
          <w:jc w:val="center"/>
        </w:trPr>
        <w:tc>
          <w:tcPr>
            <w:tcW w:w="3510" w:type="dxa"/>
            <w:tcBorders>
              <w:top w:val="single" w:sz="4" w:space="0" w:color="auto"/>
              <w:bottom w:val="single" w:sz="4" w:space="0" w:color="auto"/>
              <w:right w:val="nil"/>
            </w:tcBorders>
            <w:noWrap/>
            <w:hideMark/>
          </w:tcPr>
          <w:p w14:paraId="566D699A" w14:textId="77777777" w:rsidR="009A202D" w:rsidRPr="00C308B1" w:rsidRDefault="009A202D" w:rsidP="008949BE">
            <w:pPr>
              <w:tabs>
                <w:tab w:val="left" w:pos="467"/>
              </w:tabs>
              <w:rPr>
                <w:rFonts w:ascii="Verdana" w:hAnsi="Verdana"/>
                <w:b/>
                <w:bCs/>
              </w:rPr>
            </w:pPr>
            <w:r w:rsidRPr="00C308B1">
              <w:rPr>
                <w:rFonts w:ascii="Verdana" w:hAnsi="Verdana"/>
                <w:b/>
                <w:bCs/>
              </w:rPr>
              <w:t>Total</w:t>
            </w:r>
          </w:p>
        </w:tc>
        <w:tc>
          <w:tcPr>
            <w:tcW w:w="2268" w:type="dxa"/>
            <w:tcBorders>
              <w:top w:val="single" w:sz="4" w:space="0" w:color="auto"/>
              <w:left w:val="nil"/>
              <w:bottom w:val="single" w:sz="4" w:space="0" w:color="auto"/>
            </w:tcBorders>
            <w:noWrap/>
            <w:hideMark/>
          </w:tcPr>
          <w:p w14:paraId="3E790D17" w14:textId="462F0705" w:rsidR="009A202D" w:rsidRPr="00C308B1" w:rsidRDefault="009A202D" w:rsidP="005C6392">
            <w:pPr>
              <w:tabs>
                <w:tab w:val="left" w:pos="467"/>
              </w:tabs>
              <w:jc w:val="right"/>
              <w:rPr>
                <w:rFonts w:ascii="Verdana" w:hAnsi="Verdana"/>
                <w:b/>
                <w:bCs/>
              </w:rPr>
            </w:pPr>
            <w:r w:rsidRPr="00C308B1">
              <w:rPr>
                <w:rFonts w:ascii="Verdana" w:hAnsi="Verdana"/>
                <w:b/>
                <w:bCs/>
              </w:rPr>
              <w:t>17,</w:t>
            </w:r>
            <w:r w:rsidR="00057138">
              <w:rPr>
                <w:rFonts w:ascii="Verdana" w:hAnsi="Verdana"/>
                <w:b/>
                <w:bCs/>
              </w:rPr>
              <w:t>472</w:t>
            </w:r>
          </w:p>
        </w:tc>
      </w:tr>
    </w:tbl>
    <w:p w14:paraId="79D241FF" w14:textId="1286E5A4" w:rsidR="009A202D" w:rsidRDefault="009A202D" w:rsidP="005C6392">
      <w:pPr>
        <w:tabs>
          <w:tab w:val="left" w:pos="467"/>
        </w:tabs>
        <w:jc w:val="center"/>
        <w:rPr>
          <w:rFonts w:ascii="Verdana" w:hAnsi="Verdana"/>
        </w:rPr>
      </w:pPr>
      <w:r>
        <w:rPr>
          <w:rFonts w:ascii="Verdana" w:hAnsi="Verdana"/>
        </w:rPr>
        <w:t xml:space="preserve">Source: </w:t>
      </w:r>
      <w:r w:rsidR="00057138">
        <w:rPr>
          <w:rFonts w:ascii="Verdana" w:hAnsi="Verdana"/>
        </w:rPr>
        <w:t>DLUHC</w:t>
      </w:r>
      <w:r>
        <w:rPr>
          <w:rFonts w:ascii="Verdana" w:hAnsi="Verdana"/>
        </w:rPr>
        <w:t>, live table 100 – Tenure and district: England; 20</w:t>
      </w:r>
      <w:r w:rsidR="00057138">
        <w:rPr>
          <w:rFonts w:ascii="Verdana" w:hAnsi="Verdana"/>
        </w:rPr>
        <w:t>23</w:t>
      </w:r>
      <w:r>
        <w:rPr>
          <w:rFonts w:ascii="Verdana" w:hAnsi="Verdana"/>
        </w:rPr>
        <w:t>.</w:t>
      </w:r>
    </w:p>
    <w:p w14:paraId="123AD21E" w14:textId="77777777" w:rsidR="009A202D" w:rsidRDefault="009A202D" w:rsidP="00383A80">
      <w:pPr>
        <w:tabs>
          <w:tab w:val="left" w:pos="467"/>
        </w:tabs>
        <w:rPr>
          <w:rFonts w:ascii="Verdana" w:hAnsi="Verdana"/>
          <w:b/>
        </w:rPr>
      </w:pPr>
    </w:p>
    <w:p w14:paraId="759B93C0" w14:textId="77777777" w:rsidR="009A202D" w:rsidRPr="009A202D" w:rsidRDefault="009A202D" w:rsidP="00383A80">
      <w:pPr>
        <w:tabs>
          <w:tab w:val="left" w:pos="467"/>
        </w:tabs>
        <w:rPr>
          <w:rFonts w:ascii="Verdana" w:hAnsi="Verdana"/>
          <w:b/>
        </w:rPr>
      </w:pPr>
      <w:r w:rsidRPr="009A202D">
        <w:rPr>
          <w:rFonts w:ascii="Verdana" w:hAnsi="Verdana"/>
          <w:b/>
        </w:rPr>
        <w:t xml:space="preserve">Part </w:t>
      </w:r>
      <w:r>
        <w:rPr>
          <w:rFonts w:ascii="Verdana" w:hAnsi="Verdana"/>
          <w:b/>
        </w:rPr>
        <w:t>two</w:t>
      </w:r>
      <w:r w:rsidRPr="009A202D">
        <w:rPr>
          <w:rFonts w:ascii="Verdana" w:hAnsi="Verdana"/>
          <w:b/>
        </w:rPr>
        <w:t xml:space="preserve"> – Private Registered Providers</w:t>
      </w:r>
    </w:p>
    <w:p w14:paraId="6C801832" w14:textId="77777777" w:rsidR="009A202D" w:rsidRDefault="009A202D" w:rsidP="00383A80">
      <w:pPr>
        <w:tabs>
          <w:tab w:val="left" w:pos="467"/>
        </w:tabs>
        <w:rPr>
          <w:rFonts w:ascii="Verdana" w:hAnsi="Verdana"/>
        </w:rPr>
      </w:pPr>
    </w:p>
    <w:tbl>
      <w:tblPr>
        <w:tblStyle w:val="TableGrid"/>
        <w:tblW w:w="10906" w:type="dxa"/>
        <w:tblInd w:w="-621" w:type="dxa"/>
        <w:tblLook w:val="04A0" w:firstRow="1" w:lastRow="0" w:firstColumn="1" w:lastColumn="0" w:noHBand="0" w:noVBand="1"/>
      </w:tblPr>
      <w:tblGrid>
        <w:gridCol w:w="4109"/>
        <w:gridCol w:w="1078"/>
        <w:gridCol w:w="1907"/>
        <w:gridCol w:w="1457"/>
        <w:gridCol w:w="996"/>
        <w:gridCol w:w="1359"/>
      </w:tblGrid>
      <w:tr w:rsidR="005522F4" w:rsidRPr="005522F4" w14:paraId="08652EFD" w14:textId="77777777" w:rsidTr="009B745E">
        <w:trPr>
          <w:trHeight w:val="300"/>
          <w:tblHeader/>
        </w:trPr>
        <w:tc>
          <w:tcPr>
            <w:tcW w:w="4109" w:type="dxa"/>
            <w:tcBorders>
              <w:left w:val="nil"/>
            </w:tcBorders>
            <w:noWrap/>
            <w:hideMark/>
          </w:tcPr>
          <w:p w14:paraId="092D224A" w14:textId="77777777" w:rsidR="005522F4" w:rsidRPr="005522F4" w:rsidRDefault="005522F4" w:rsidP="005522F4">
            <w:pPr>
              <w:tabs>
                <w:tab w:val="left" w:pos="467"/>
              </w:tabs>
              <w:rPr>
                <w:rFonts w:ascii="Verdana" w:hAnsi="Verdana"/>
                <w:b/>
                <w:bCs/>
                <w:sz w:val="22"/>
                <w:szCs w:val="22"/>
              </w:rPr>
            </w:pPr>
            <w:r w:rsidRPr="005522F4">
              <w:rPr>
                <w:rFonts w:ascii="Verdana" w:hAnsi="Verdana"/>
                <w:b/>
                <w:bCs/>
                <w:sz w:val="22"/>
                <w:szCs w:val="22"/>
              </w:rPr>
              <w:t>Private Registered Provider</w:t>
            </w:r>
          </w:p>
        </w:tc>
        <w:tc>
          <w:tcPr>
            <w:tcW w:w="1078" w:type="dxa"/>
          </w:tcPr>
          <w:p w14:paraId="2389288E" w14:textId="77777777" w:rsidR="005522F4" w:rsidRPr="005522F4" w:rsidRDefault="005522F4" w:rsidP="009B745E">
            <w:pPr>
              <w:tabs>
                <w:tab w:val="left" w:pos="467"/>
              </w:tabs>
              <w:jc w:val="center"/>
              <w:rPr>
                <w:rFonts w:ascii="Verdana" w:hAnsi="Verdana"/>
                <w:b/>
                <w:bCs/>
                <w:sz w:val="22"/>
                <w:szCs w:val="22"/>
              </w:rPr>
            </w:pPr>
            <w:r w:rsidRPr="005522F4">
              <w:rPr>
                <w:rFonts w:ascii="Verdana" w:hAnsi="Verdana"/>
                <w:b/>
                <w:bCs/>
                <w:sz w:val="22"/>
                <w:szCs w:val="22"/>
              </w:rPr>
              <w:t>Total</w:t>
            </w:r>
            <w:r>
              <w:rPr>
                <w:rFonts w:ascii="Verdana" w:hAnsi="Verdana"/>
                <w:b/>
                <w:bCs/>
                <w:sz w:val="22"/>
                <w:szCs w:val="22"/>
              </w:rPr>
              <w:t xml:space="preserve"> stock</w:t>
            </w:r>
          </w:p>
        </w:tc>
        <w:tc>
          <w:tcPr>
            <w:tcW w:w="5719" w:type="dxa"/>
            <w:gridSpan w:val="4"/>
            <w:tcBorders>
              <w:right w:val="nil"/>
            </w:tcBorders>
            <w:noWrap/>
          </w:tcPr>
          <w:p w14:paraId="5FE5A7DA" w14:textId="77777777" w:rsidR="005522F4" w:rsidRPr="005522F4" w:rsidRDefault="00177C82" w:rsidP="009B745E">
            <w:pPr>
              <w:tabs>
                <w:tab w:val="left" w:pos="467"/>
              </w:tabs>
              <w:jc w:val="center"/>
              <w:rPr>
                <w:rFonts w:ascii="Verdana" w:hAnsi="Verdana"/>
                <w:b/>
                <w:bCs/>
                <w:sz w:val="22"/>
                <w:szCs w:val="22"/>
              </w:rPr>
            </w:pPr>
            <w:r>
              <w:rPr>
                <w:rFonts w:ascii="Verdana" w:hAnsi="Verdana"/>
                <w:b/>
                <w:bCs/>
                <w:sz w:val="22"/>
                <w:szCs w:val="22"/>
              </w:rPr>
              <w:t>Stock in each local authority area</w:t>
            </w:r>
          </w:p>
        </w:tc>
      </w:tr>
      <w:tr w:rsidR="005522F4" w:rsidRPr="005522F4" w14:paraId="1EB4704C" w14:textId="77777777" w:rsidTr="009B745E">
        <w:trPr>
          <w:trHeight w:val="300"/>
          <w:tblHeader/>
        </w:trPr>
        <w:tc>
          <w:tcPr>
            <w:tcW w:w="4109" w:type="dxa"/>
            <w:tcBorders>
              <w:left w:val="nil"/>
              <w:bottom w:val="single" w:sz="4" w:space="0" w:color="auto"/>
            </w:tcBorders>
            <w:noWrap/>
          </w:tcPr>
          <w:p w14:paraId="2CC85CC1" w14:textId="77777777" w:rsidR="005522F4" w:rsidRPr="005522F4" w:rsidRDefault="005522F4" w:rsidP="005522F4">
            <w:pPr>
              <w:tabs>
                <w:tab w:val="left" w:pos="467"/>
              </w:tabs>
              <w:rPr>
                <w:rFonts w:ascii="Verdana" w:hAnsi="Verdana"/>
                <w:sz w:val="22"/>
                <w:szCs w:val="22"/>
              </w:rPr>
            </w:pPr>
          </w:p>
        </w:tc>
        <w:tc>
          <w:tcPr>
            <w:tcW w:w="1078" w:type="dxa"/>
            <w:tcBorders>
              <w:bottom w:val="single" w:sz="4" w:space="0" w:color="auto"/>
            </w:tcBorders>
          </w:tcPr>
          <w:p w14:paraId="1D9B1E79" w14:textId="77777777" w:rsidR="005522F4" w:rsidRPr="005522F4" w:rsidRDefault="005522F4" w:rsidP="009B745E">
            <w:pPr>
              <w:tabs>
                <w:tab w:val="left" w:pos="467"/>
              </w:tabs>
              <w:jc w:val="center"/>
              <w:rPr>
                <w:rFonts w:ascii="Verdana" w:hAnsi="Verdana"/>
                <w:sz w:val="22"/>
                <w:szCs w:val="22"/>
              </w:rPr>
            </w:pPr>
          </w:p>
        </w:tc>
        <w:tc>
          <w:tcPr>
            <w:tcW w:w="1907" w:type="dxa"/>
            <w:tcBorders>
              <w:bottom w:val="single" w:sz="4" w:space="0" w:color="auto"/>
            </w:tcBorders>
            <w:noWrap/>
          </w:tcPr>
          <w:p w14:paraId="62ECD0EF" w14:textId="77777777" w:rsidR="005522F4" w:rsidRPr="005522F4" w:rsidRDefault="005522F4" w:rsidP="009B745E">
            <w:pPr>
              <w:tabs>
                <w:tab w:val="left" w:pos="467"/>
              </w:tabs>
              <w:jc w:val="center"/>
              <w:rPr>
                <w:rFonts w:ascii="Verdana" w:hAnsi="Verdana"/>
                <w:b/>
                <w:bCs/>
                <w:sz w:val="22"/>
                <w:szCs w:val="22"/>
              </w:rPr>
            </w:pPr>
            <w:r w:rsidRPr="005522F4">
              <w:rPr>
                <w:rFonts w:ascii="Verdana" w:hAnsi="Verdana"/>
                <w:b/>
                <w:bCs/>
                <w:sz w:val="22"/>
                <w:szCs w:val="22"/>
              </w:rPr>
              <w:t>North Warwickshire</w:t>
            </w:r>
          </w:p>
        </w:tc>
        <w:tc>
          <w:tcPr>
            <w:tcW w:w="1457" w:type="dxa"/>
            <w:tcBorders>
              <w:bottom w:val="single" w:sz="4" w:space="0" w:color="auto"/>
            </w:tcBorders>
            <w:noWrap/>
          </w:tcPr>
          <w:p w14:paraId="32185DE1" w14:textId="77777777" w:rsidR="005522F4" w:rsidRPr="005522F4" w:rsidRDefault="005522F4" w:rsidP="009B745E">
            <w:pPr>
              <w:tabs>
                <w:tab w:val="left" w:pos="467"/>
              </w:tabs>
              <w:jc w:val="center"/>
              <w:rPr>
                <w:rFonts w:ascii="Verdana" w:hAnsi="Verdana"/>
                <w:b/>
                <w:bCs/>
                <w:sz w:val="22"/>
                <w:szCs w:val="22"/>
              </w:rPr>
            </w:pPr>
            <w:r w:rsidRPr="005522F4">
              <w:rPr>
                <w:rFonts w:ascii="Verdana" w:hAnsi="Verdana"/>
                <w:b/>
                <w:bCs/>
                <w:sz w:val="22"/>
                <w:szCs w:val="22"/>
              </w:rPr>
              <w:t>Nuneaton and Bedworth</w:t>
            </w:r>
          </w:p>
        </w:tc>
        <w:tc>
          <w:tcPr>
            <w:tcW w:w="996" w:type="dxa"/>
            <w:tcBorders>
              <w:bottom w:val="single" w:sz="4" w:space="0" w:color="auto"/>
            </w:tcBorders>
            <w:noWrap/>
          </w:tcPr>
          <w:p w14:paraId="6BD660A5" w14:textId="77777777" w:rsidR="005522F4" w:rsidRPr="005522F4" w:rsidRDefault="005522F4" w:rsidP="009B745E">
            <w:pPr>
              <w:tabs>
                <w:tab w:val="left" w:pos="467"/>
              </w:tabs>
              <w:jc w:val="center"/>
              <w:rPr>
                <w:rFonts w:ascii="Verdana" w:hAnsi="Verdana"/>
                <w:b/>
                <w:bCs/>
                <w:sz w:val="22"/>
                <w:szCs w:val="22"/>
              </w:rPr>
            </w:pPr>
            <w:r w:rsidRPr="005522F4">
              <w:rPr>
                <w:rFonts w:ascii="Verdana" w:hAnsi="Verdana"/>
                <w:b/>
                <w:bCs/>
                <w:sz w:val="22"/>
                <w:szCs w:val="22"/>
              </w:rPr>
              <w:t>Rugby</w:t>
            </w:r>
          </w:p>
        </w:tc>
        <w:tc>
          <w:tcPr>
            <w:tcW w:w="1359" w:type="dxa"/>
            <w:tcBorders>
              <w:bottom w:val="single" w:sz="4" w:space="0" w:color="auto"/>
              <w:right w:val="nil"/>
            </w:tcBorders>
            <w:noWrap/>
          </w:tcPr>
          <w:p w14:paraId="1A4686F7" w14:textId="77777777" w:rsidR="005522F4" w:rsidRPr="005522F4" w:rsidRDefault="005522F4" w:rsidP="009B745E">
            <w:pPr>
              <w:tabs>
                <w:tab w:val="left" w:pos="467"/>
              </w:tabs>
              <w:jc w:val="center"/>
              <w:rPr>
                <w:rFonts w:ascii="Verdana" w:hAnsi="Verdana"/>
                <w:b/>
                <w:bCs/>
                <w:sz w:val="22"/>
                <w:szCs w:val="22"/>
              </w:rPr>
            </w:pPr>
            <w:r w:rsidRPr="005522F4">
              <w:rPr>
                <w:rFonts w:ascii="Verdana" w:hAnsi="Verdana"/>
                <w:b/>
                <w:bCs/>
                <w:sz w:val="22"/>
                <w:szCs w:val="22"/>
              </w:rPr>
              <w:t>Warwick</w:t>
            </w:r>
          </w:p>
        </w:tc>
      </w:tr>
      <w:tr w:rsidR="005522F4" w:rsidRPr="005522F4" w14:paraId="0687CE60" w14:textId="77777777" w:rsidTr="009B745E">
        <w:trPr>
          <w:trHeight w:val="300"/>
        </w:trPr>
        <w:tc>
          <w:tcPr>
            <w:tcW w:w="4109" w:type="dxa"/>
            <w:tcBorders>
              <w:left w:val="nil"/>
              <w:bottom w:val="nil"/>
            </w:tcBorders>
            <w:noWrap/>
            <w:hideMark/>
          </w:tcPr>
          <w:p w14:paraId="0B44E0CA" w14:textId="229FBFBB" w:rsidR="005522F4" w:rsidRPr="00D522CB" w:rsidRDefault="007D3A4D" w:rsidP="00102F57">
            <w:pPr>
              <w:tabs>
                <w:tab w:val="left" w:pos="467"/>
              </w:tabs>
              <w:rPr>
                <w:rFonts w:ascii="Verdana" w:hAnsi="Verdana"/>
                <w:sz w:val="22"/>
                <w:szCs w:val="22"/>
              </w:rPr>
            </w:pPr>
            <w:r>
              <w:rPr>
                <w:rFonts w:ascii="Verdana" w:hAnsi="Verdana"/>
                <w:sz w:val="22"/>
                <w:szCs w:val="22"/>
              </w:rPr>
              <w:t>Orbit Housing Association Limited</w:t>
            </w:r>
          </w:p>
        </w:tc>
        <w:tc>
          <w:tcPr>
            <w:tcW w:w="1078" w:type="dxa"/>
            <w:tcBorders>
              <w:bottom w:val="nil"/>
            </w:tcBorders>
          </w:tcPr>
          <w:p w14:paraId="6C705C4E" w14:textId="0BD705B5" w:rsidR="005522F4" w:rsidRPr="005522F4" w:rsidRDefault="007D3A4D" w:rsidP="009B745E">
            <w:pPr>
              <w:tabs>
                <w:tab w:val="left" w:pos="467"/>
              </w:tabs>
              <w:jc w:val="center"/>
              <w:rPr>
                <w:rFonts w:ascii="Verdana" w:hAnsi="Verdana"/>
                <w:sz w:val="22"/>
                <w:szCs w:val="22"/>
              </w:rPr>
            </w:pPr>
            <w:r>
              <w:rPr>
                <w:rFonts w:ascii="Verdana" w:hAnsi="Verdana"/>
                <w:sz w:val="22"/>
                <w:szCs w:val="22"/>
              </w:rPr>
              <w:t>3679</w:t>
            </w:r>
          </w:p>
        </w:tc>
        <w:tc>
          <w:tcPr>
            <w:tcW w:w="1907" w:type="dxa"/>
            <w:tcBorders>
              <w:bottom w:val="nil"/>
            </w:tcBorders>
            <w:noWrap/>
            <w:hideMark/>
          </w:tcPr>
          <w:p w14:paraId="2D91FBA5" w14:textId="256A486A" w:rsidR="005522F4" w:rsidRPr="005522F4" w:rsidRDefault="007D3A4D" w:rsidP="009B745E">
            <w:pPr>
              <w:tabs>
                <w:tab w:val="left" w:pos="467"/>
              </w:tabs>
              <w:jc w:val="center"/>
              <w:rPr>
                <w:rFonts w:ascii="Verdana" w:hAnsi="Verdana"/>
                <w:sz w:val="22"/>
                <w:szCs w:val="22"/>
              </w:rPr>
            </w:pPr>
            <w:r>
              <w:rPr>
                <w:rFonts w:ascii="Verdana" w:hAnsi="Verdana"/>
                <w:sz w:val="22"/>
                <w:szCs w:val="22"/>
              </w:rPr>
              <w:t>80</w:t>
            </w:r>
          </w:p>
        </w:tc>
        <w:tc>
          <w:tcPr>
            <w:tcW w:w="1457" w:type="dxa"/>
            <w:tcBorders>
              <w:bottom w:val="nil"/>
            </w:tcBorders>
            <w:noWrap/>
            <w:hideMark/>
          </w:tcPr>
          <w:p w14:paraId="546FC494" w14:textId="42A54DCC" w:rsidR="005522F4" w:rsidRPr="005522F4" w:rsidRDefault="007D3A4D" w:rsidP="009B745E">
            <w:pPr>
              <w:tabs>
                <w:tab w:val="left" w:pos="467"/>
              </w:tabs>
              <w:jc w:val="center"/>
              <w:rPr>
                <w:rFonts w:ascii="Verdana" w:hAnsi="Verdana"/>
                <w:sz w:val="22"/>
                <w:szCs w:val="22"/>
              </w:rPr>
            </w:pPr>
            <w:r>
              <w:rPr>
                <w:rFonts w:ascii="Verdana" w:hAnsi="Verdana"/>
                <w:sz w:val="22"/>
                <w:szCs w:val="22"/>
              </w:rPr>
              <w:t>708</w:t>
            </w:r>
          </w:p>
        </w:tc>
        <w:tc>
          <w:tcPr>
            <w:tcW w:w="996" w:type="dxa"/>
            <w:tcBorders>
              <w:bottom w:val="nil"/>
            </w:tcBorders>
            <w:noWrap/>
            <w:hideMark/>
          </w:tcPr>
          <w:p w14:paraId="5ED54139" w14:textId="0C6035CB" w:rsidR="005522F4" w:rsidRPr="005522F4" w:rsidRDefault="007D3A4D" w:rsidP="009B745E">
            <w:pPr>
              <w:tabs>
                <w:tab w:val="left" w:pos="467"/>
              </w:tabs>
              <w:jc w:val="center"/>
              <w:rPr>
                <w:rFonts w:ascii="Verdana" w:hAnsi="Verdana"/>
                <w:sz w:val="22"/>
                <w:szCs w:val="22"/>
              </w:rPr>
            </w:pPr>
            <w:r>
              <w:rPr>
                <w:rFonts w:ascii="Verdana" w:hAnsi="Verdana"/>
                <w:sz w:val="22"/>
                <w:szCs w:val="22"/>
              </w:rPr>
              <w:t>1190</w:t>
            </w:r>
          </w:p>
        </w:tc>
        <w:tc>
          <w:tcPr>
            <w:tcW w:w="1359" w:type="dxa"/>
            <w:tcBorders>
              <w:bottom w:val="nil"/>
              <w:right w:val="nil"/>
            </w:tcBorders>
            <w:noWrap/>
            <w:hideMark/>
          </w:tcPr>
          <w:p w14:paraId="36341148" w14:textId="2D144563" w:rsidR="005522F4" w:rsidRPr="005522F4" w:rsidRDefault="007D3A4D" w:rsidP="009B745E">
            <w:pPr>
              <w:tabs>
                <w:tab w:val="left" w:pos="467"/>
              </w:tabs>
              <w:jc w:val="center"/>
              <w:rPr>
                <w:rFonts w:ascii="Verdana" w:hAnsi="Verdana"/>
                <w:sz w:val="22"/>
                <w:szCs w:val="22"/>
              </w:rPr>
            </w:pPr>
            <w:r>
              <w:rPr>
                <w:rFonts w:ascii="Verdana" w:hAnsi="Verdana"/>
                <w:sz w:val="22"/>
                <w:szCs w:val="22"/>
              </w:rPr>
              <w:t>1578</w:t>
            </w:r>
          </w:p>
        </w:tc>
      </w:tr>
      <w:tr w:rsidR="005522F4" w:rsidRPr="005522F4" w14:paraId="5FEE5F03" w14:textId="77777777" w:rsidTr="009B745E">
        <w:trPr>
          <w:trHeight w:val="300"/>
        </w:trPr>
        <w:tc>
          <w:tcPr>
            <w:tcW w:w="4109" w:type="dxa"/>
            <w:tcBorders>
              <w:top w:val="nil"/>
              <w:left w:val="nil"/>
              <w:bottom w:val="nil"/>
            </w:tcBorders>
            <w:noWrap/>
            <w:hideMark/>
          </w:tcPr>
          <w:p w14:paraId="2304FCD6" w14:textId="18B299B9" w:rsidR="005522F4" w:rsidRPr="00D522CB" w:rsidRDefault="007D3A4D" w:rsidP="005522F4">
            <w:pPr>
              <w:tabs>
                <w:tab w:val="left" w:pos="467"/>
              </w:tabs>
              <w:rPr>
                <w:rFonts w:ascii="Verdana" w:hAnsi="Verdana"/>
                <w:sz w:val="22"/>
                <w:szCs w:val="22"/>
              </w:rPr>
            </w:pPr>
            <w:r>
              <w:rPr>
                <w:rFonts w:ascii="Verdana" w:hAnsi="Verdana"/>
                <w:sz w:val="22"/>
                <w:szCs w:val="22"/>
              </w:rPr>
              <w:t>Platform Housing Limited</w:t>
            </w:r>
          </w:p>
        </w:tc>
        <w:tc>
          <w:tcPr>
            <w:tcW w:w="1078" w:type="dxa"/>
            <w:tcBorders>
              <w:top w:val="nil"/>
              <w:bottom w:val="nil"/>
            </w:tcBorders>
          </w:tcPr>
          <w:p w14:paraId="11646DEB" w14:textId="5692F3AB" w:rsidR="005522F4" w:rsidRPr="00D522CB" w:rsidRDefault="007D3A4D" w:rsidP="009B745E">
            <w:pPr>
              <w:tabs>
                <w:tab w:val="left" w:pos="467"/>
              </w:tabs>
              <w:jc w:val="center"/>
              <w:rPr>
                <w:rFonts w:ascii="Verdana" w:hAnsi="Verdana"/>
                <w:sz w:val="22"/>
                <w:szCs w:val="22"/>
              </w:rPr>
            </w:pPr>
            <w:r>
              <w:rPr>
                <w:rFonts w:ascii="Verdana" w:hAnsi="Verdana"/>
                <w:sz w:val="22"/>
                <w:szCs w:val="22"/>
              </w:rPr>
              <w:t>2027</w:t>
            </w:r>
          </w:p>
        </w:tc>
        <w:tc>
          <w:tcPr>
            <w:tcW w:w="1907" w:type="dxa"/>
            <w:tcBorders>
              <w:top w:val="nil"/>
              <w:bottom w:val="nil"/>
            </w:tcBorders>
            <w:noWrap/>
            <w:hideMark/>
          </w:tcPr>
          <w:p w14:paraId="54D9917C" w14:textId="75CAF575" w:rsidR="005522F4" w:rsidRPr="00D522CB" w:rsidRDefault="007D3A4D" w:rsidP="009B745E">
            <w:pPr>
              <w:tabs>
                <w:tab w:val="left" w:pos="467"/>
              </w:tabs>
              <w:jc w:val="center"/>
              <w:rPr>
                <w:rFonts w:ascii="Verdana" w:hAnsi="Verdana"/>
                <w:sz w:val="22"/>
                <w:szCs w:val="22"/>
              </w:rPr>
            </w:pPr>
            <w:r>
              <w:rPr>
                <w:rFonts w:ascii="Verdana" w:hAnsi="Verdana"/>
                <w:sz w:val="22"/>
                <w:szCs w:val="22"/>
              </w:rPr>
              <w:t>748</w:t>
            </w:r>
          </w:p>
        </w:tc>
        <w:tc>
          <w:tcPr>
            <w:tcW w:w="1457" w:type="dxa"/>
            <w:tcBorders>
              <w:top w:val="nil"/>
              <w:bottom w:val="nil"/>
            </w:tcBorders>
            <w:noWrap/>
            <w:hideMark/>
          </w:tcPr>
          <w:p w14:paraId="39AF15F8" w14:textId="0EFEDDDE" w:rsidR="005522F4" w:rsidRPr="00D522CB" w:rsidRDefault="007D3A4D" w:rsidP="009B745E">
            <w:pPr>
              <w:tabs>
                <w:tab w:val="left" w:pos="467"/>
              </w:tabs>
              <w:jc w:val="center"/>
              <w:rPr>
                <w:rFonts w:ascii="Verdana" w:hAnsi="Verdana"/>
                <w:sz w:val="22"/>
                <w:szCs w:val="22"/>
              </w:rPr>
            </w:pPr>
            <w:r>
              <w:rPr>
                <w:rFonts w:ascii="Verdana" w:hAnsi="Verdana"/>
                <w:sz w:val="22"/>
                <w:szCs w:val="22"/>
              </w:rPr>
              <w:t>131</w:t>
            </w:r>
          </w:p>
        </w:tc>
        <w:tc>
          <w:tcPr>
            <w:tcW w:w="996" w:type="dxa"/>
            <w:tcBorders>
              <w:top w:val="nil"/>
              <w:bottom w:val="nil"/>
            </w:tcBorders>
            <w:noWrap/>
            <w:hideMark/>
          </w:tcPr>
          <w:p w14:paraId="0CEA8F5B" w14:textId="6B5AD4AB" w:rsidR="005522F4" w:rsidRPr="00D522CB" w:rsidRDefault="007D3A4D" w:rsidP="009B745E">
            <w:pPr>
              <w:tabs>
                <w:tab w:val="left" w:pos="467"/>
              </w:tabs>
              <w:jc w:val="center"/>
              <w:rPr>
                <w:rFonts w:ascii="Verdana" w:hAnsi="Verdana"/>
                <w:sz w:val="22"/>
                <w:szCs w:val="22"/>
              </w:rPr>
            </w:pPr>
            <w:r>
              <w:rPr>
                <w:rFonts w:ascii="Verdana" w:hAnsi="Verdana"/>
                <w:sz w:val="22"/>
                <w:szCs w:val="22"/>
              </w:rPr>
              <w:t>181</w:t>
            </w:r>
          </w:p>
        </w:tc>
        <w:tc>
          <w:tcPr>
            <w:tcW w:w="1359" w:type="dxa"/>
            <w:tcBorders>
              <w:top w:val="nil"/>
              <w:bottom w:val="nil"/>
              <w:right w:val="nil"/>
            </w:tcBorders>
            <w:noWrap/>
            <w:hideMark/>
          </w:tcPr>
          <w:p w14:paraId="1D8A5BBF" w14:textId="3E12E0B9" w:rsidR="005522F4" w:rsidRPr="005522F4" w:rsidRDefault="007D3A4D" w:rsidP="009B745E">
            <w:pPr>
              <w:tabs>
                <w:tab w:val="left" w:pos="467"/>
              </w:tabs>
              <w:jc w:val="center"/>
              <w:rPr>
                <w:rFonts w:ascii="Verdana" w:hAnsi="Verdana"/>
                <w:sz w:val="22"/>
                <w:szCs w:val="22"/>
              </w:rPr>
            </w:pPr>
            <w:r>
              <w:rPr>
                <w:rFonts w:ascii="Verdana" w:hAnsi="Verdana"/>
                <w:sz w:val="22"/>
                <w:szCs w:val="22"/>
              </w:rPr>
              <w:t>967</w:t>
            </w:r>
          </w:p>
        </w:tc>
      </w:tr>
      <w:tr w:rsidR="005522F4" w:rsidRPr="005522F4" w14:paraId="66242658" w14:textId="77777777" w:rsidTr="009B745E">
        <w:trPr>
          <w:trHeight w:val="300"/>
        </w:trPr>
        <w:tc>
          <w:tcPr>
            <w:tcW w:w="4109" w:type="dxa"/>
            <w:tcBorders>
              <w:top w:val="nil"/>
              <w:left w:val="nil"/>
              <w:bottom w:val="nil"/>
            </w:tcBorders>
            <w:noWrap/>
            <w:hideMark/>
          </w:tcPr>
          <w:p w14:paraId="56BFF1DF" w14:textId="1C3E3394" w:rsidR="005522F4" w:rsidRPr="00C30849" w:rsidRDefault="007D3A4D" w:rsidP="00102F57">
            <w:pPr>
              <w:tabs>
                <w:tab w:val="left" w:pos="467"/>
              </w:tabs>
              <w:rPr>
                <w:rFonts w:ascii="Verdana" w:hAnsi="Verdana"/>
                <w:sz w:val="22"/>
                <w:szCs w:val="22"/>
              </w:rPr>
            </w:pPr>
            <w:r>
              <w:rPr>
                <w:rFonts w:ascii="Verdana" w:hAnsi="Verdana"/>
                <w:sz w:val="22"/>
                <w:szCs w:val="22"/>
              </w:rPr>
              <w:t>Midland Heart Limited</w:t>
            </w:r>
          </w:p>
        </w:tc>
        <w:tc>
          <w:tcPr>
            <w:tcW w:w="1078" w:type="dxa"/>
            <w:tcBorders>
              <w:top w:val="nil"/>
              <w:bottom w:val="nil"/>
            </w:tcBorders>
          </w:tcPr>
          <w:p w14:paraId="1CAED48D" w14:textId="3A864022" w:rsidR="005522F4" w:rsidRPr="005522F4" w:rsidRDefault="007D3A4D" w:rsidP="009B745E">
            <w:pPr>
              <w:tabs>
                <w:tab w:val="left" w:pos="467"/>
              </w:tabs>
              <w:jc w:val="center"/>
              <w:rPr>
                <w:rFonts w:ascii="Verdana" w:hAnsi="Verdana"/>
                <w:sz w:val="22"/>
                <w:szCs w:val="22"/>
              </w:rPr>
            </w:pPr>
            <w:r>
              <w:rPr>
                <w:rFonts w:ascii="Verdana" w:hAnsi="Verdana"/>
                <w:sz w:val="22"/>
                <w:szCs w:val="22"/>
              </w:rPr>
              <w:t>1959</w:t>
            </w:r>
          </w:p>
        </w:tc>
        <w:tc>
          <w:tcPr>
            <w:tcW w:w="1907" w:type="dxa"/>
            <w:tcBorders>
              <w:top w:val="nil"/>
              <w:bottom w:val="nil"/>
            </w:tcBorders>
            <w:noWrap/>
            <w:hideMark/>
          </w:tcPr>
          <w:p w14:paraId="7A1CE535" w14:textId="0C14AE52" w:rsidR="005522F4" w:rsidRPr="005522F4" w:rsidRDefault="007D3A4D" w:rsidP="009B745E">
            <w:pPr>
              <w:tabs>
                <w:tab w:val="left" w:pos="467"/>
              </w:tabs>
              <w:jc w:val="center"/>
              <w:rPr>
                <w:rFonts w:ascii="Verdana" w:hAnsi="Verdana"/>
                <w:sz w:val="22"/>
                <w:szCs w:val="22"/>
              </w:rPr>
            </w:pPr>
            <w:r>
              <w:rPr>
                <w:rFonts w:ascii="Verdana" w:hAnsi="Verdana"/>
                <w:sz w:val="22"/>
                <w:szCs w:val="22"/>
              </w:rPr>
              <w:t>407</w:t>
            </w:r>
          </w:p>
        </w:tc>
        <w:tc>
          <w:tcPr>
            <w:tcW w:w="1457" w:type="dxa"/>
            <w:tcBorders>
              <w:top w:val="nil"/>
              <w:bottom w:val="nil"/>
            </w:tcBorders>
            <w:noWrap/>
            <w:hideMark/>
          </w:tcPr>
          <w:p w14:paraId="4192271A" w14:textId="435803A7" w:rsidR="005522F4" w:rsidRPr="005522F4" w:rsidRDefault="007D3A4D" w:rsidP="009B745E">
            <w:pPr>
              <w:tabs>
                <w:tab w:val="left" w:pos="467"/>
              </w:tabs>
              <w:jc w:val="center"/>
              <w:rPr>
                <w:rFonts w:ascii="Verdana" w:hAnsi="Verdana"/>
                <w:sz w:val="22"/>
                <w:szCs w:val="22"/>
              </w:rPr>
            </w:pPr>
            <w:r>
              <w:rPr>
                <w:rFonts w:ascii="Verdana" w:hAnsi="Verdana"/>
                <w:sz w:val="22"/>
                <w:szCs w:val="22"/>
              </w:rPr>
              <w:t>851</w:t>
            </w:r>
          </w:p>
        </w:tc>
        <w:tc>
          <w:tcPr>
            <w:tcW w:w="996" w:type="dxa"/>
            <w:tcBorders>
              <w:top w:val="nil"/>
              <w:bottom w:val="nil"/>
            </w:tcBorders>
            <w:noWrap/>
            <w:hideMark/>
          </w:tcPr>
          <w:p w14:paraId="1EF2EC3C" w14:textId="272065FD" w:rsidR="005522F4" w:rsidRPr="005522F4" w:rsidRDefault="007D3A4D" w:rsidP="009B745E">
            <w:pPr>
              <w:tabs>
                <w:tab w:val="left" w:pos="467"/>
              </w:tabs>
              <w:jc w:val="center"/>
              <w:rPr>
                <w:rFonts w:ascii="Verdana" w:hAnsi="Verdana"/>
                <w:sz w:val="22"/>
                <w:szCs w:val="22"/>
              </w:rPr>
            </w:pPr>
            <w:r>
              <w:rPr>
                <w:rFonts w:ascii="Verdana" w:hAnsi="Verdana"/>
                <w:sz w:val="22"/>
                <w:szCs w:val="22"/>
              </w:rPr>
              <w:t>691</w:t>
            </w:r>
          </w:p>
        </w:tc>
        <w:tc>
          <w:tcPr>
            <w:tcW w:w="1359" w:type="dxa"/>
            <w:tcBorders>
              <w:top w:val="nil"/>
              <w:bottom w:val="nil"/>
              <w:right w:val="nil"/>
            </w:tcBorders>
            <w:noWrap/>
            <w:hideMark/>
          </w:tcPr>
          <w:p w14:paraId="685D80D4" w14:textId="159C03BF" w:rsidR="005522F4" w:rsidRPr="005522F4" w:rsidRDefault="007D3A4D" w:rsidP="009B745E">
            <w:pPr>
              <w:tabs>
                <w:tab w:val="left" w:pos="467"/>
              </w:tabs>
              <w:jc w:val="center"/>
              <w:rPr>
                <w:rFonts w:ascii="Verdana" w:hAnsi="Verdana"/>
                <w:sz w:val="22"/>
                <w:szCs w:val="22"/>
              </w:rPr>
            </w:pPr>
            <w:r>
              <w:rPr>
                <w:rFonts w:ascii="Verdana" w:hAnsi="Verdana"/>
                <w:sz w:val="22"/>
                <w:szCs w:val="22"/>
              </w:rPr>
              <w:t>10</w:t>
            </w:r>
          </w:p>
        </w:tc>
      </w:tr>
      <w:tr w:rsidR="005522F4" w:rsidRPr="005522F4" w14:paraId="30A932AE" w14:textId="77777777" w:rsidTr="009B745E">
        <w:trPr>
          <w:trHeight w:val="300"/>
        </w:trPr>
        <w:tc>
          <w:tcPr>
            <w:tcW w:w="4109" w:type="dxa"/>
            <w:tcBorders>
              <w:top w:val="nil"/>
              <w:left w:val="nil"/>
              <w:bottom w:val="nil"/>
            </w:tcBorders>
            <w:noWrap/>
            <w:hideMark/>
          </w:tcPr>
          <w:p w14:paraId="44C48BB8" w14:textId="77777777" w:rsidR="005522F4" w:rsidRPr="00D522CB" w:rsidRDefault="005522F4" w:rsidP="005522F4">
            <w:pPr>
              <w:tabs>
                <w:tab w:val="left" w:pos="467"/>
              </w:tabs>
              <w:rPr>
                <w:rFonts w:ascii="Verdana" w:hAnsi="Verdana"/>
                <w:sz w:val="22"/>
                <w:szCs w:val="22"/>
              </w:rPr>
            </w:pPr>
            <w:r w:rsidRPr="00D522CB">
              <w:rPr>
                <w:rFonts w:ascii="Verdana" w:hAnsi="Verdana"/>
                <w:sz w:val="22"/>
                <w:szCs w:val="22"/>
              </w:rPr>
              <w:t>Stonewater</w:t>
            </w:r>
          </w:p>
        </w:tc>
        <w:tc>
          <w:tcPr>
            <w:tcW w:w="1078" w:type="dxa"/>
            <w:tcBorders>
              <w:top w:val="nil"/>
              <w:bottom w:val="nil"/>
            </w:tcBorders>
          </w:tcPr>
          <w:p w14:paraId="4330ED8E" w14:textId="2CF315C6" w:rsidR="005522F4" w:rsidRPr="005522F4" w:rsidRDefault="007D3A4D" w:rsidP="009B745E">
            <w:pPr>
              <w:tabs>
                <w:tab w:val="left" w:pos="467"/>
              </w:tabs>
              <w:jc w:val="center"/>
              <w:rPr>
                <w:rFonts w:ascii="Verdana" w:hAnsi="Verdana"/>
                <w:sz w:val="22"/>
                <w:szCs w:val="22"/>
              </w:rPr>
            </w:pPr>
            <w:r>
              <w:rPr>
                <w:rFonts w:ascii="Verdana" w:hAnsi="Verdana"/>
                <w:sz w:val="22"/>
                <w:szCs w:val="22"/>
              </w:rPr>
              <w:t>1157</w:t>
            </w:r>
          </w:p>
        </w:tc>
        <w:tc>
          <w:tcPr>
            <w:tcW w:w="1907" w:type="dxa"/>
            <w:tcBorders>
              <w:top w:val="nil"/>
              <w:bottom w:val="nil"/>
            </w:tcBorders>
            <w:noWrap/>
            <w:hideMark/>
          </w:tcPr>
          <w:p w14:paraId="47164703" w14:textId="4ACB1AD9" w:rsidR="005522F4" w:rsidRPr="005522F4" w:rsidRDefault="007D3A4D" w:rsidP="009B745E">
            <w:pPr>
              <w:tabs>
                <w:tab w:val="left" w:pos="467"/>
              </w:tabs>
              <w:jc w:val="center"/>
              <w:rPr>
                <w:rFonts w:ascii="Verdana" w:hAnsi="Verdana"/>
                <w:sz w:val="22"/>
                <w:szCs w:val="22"/>
              </w:rPr>
            </w:pPr>
            <w:r>
              <w:rPr>
                <w:rFonts w:ascii="Verdana" w:hAnsi="Verdana"/>
                <w:sz w:val="22"/>
                <w:szCs w:val="22"/>
              </w:rPr>
              <w:t>82</w:t>
            </w:r>
          </w:p>
        </w:tc>
        <w:tc>
          <w:tcPr>
            <w:tcW w:w="1457" w:type="dxa"/>
            <w:tcBorders>
              <w:top w:val="nil"/>
              <w:bottom w:val="nil"/>
            </w:tcBorders>
            <w:noWrap/>
            <w:hideMark/>
          </w:tcPr>
          <w:p w14:paraId="3CAF238B" w14:textId="6F888E12" w:rsidR="005522F4" w:rsidRPr="005522F4" w:rsidRDefault="007D3A4D" w:rsidP="009B745E">
            <w:pPr>
              <w:tabs>
                <w:tab w:val="left" w:pos="467"/>
              </w:tabs>
              <w:jc w:val="center"/>
              <w:rPr>
                <w:rFonts w:ascii="Verdana" w:hAnsi="Verdana"/>
                <w:sz w:val="22"/>
                <w:szCs w:val="22"/>
              </w:rPr>
            </w:pPr>
            <w:r>
              <w:rPr>
                <w:rFonts w:ascii="Verdana" w:hAnsi="Verdana"/>
                <w:sz w:val="22"/>
                <w:szCs w:val="22"/>
              </w:rPr>
              <w:t>292</w:t>
            </w:r>
          </w:p>
        </w:tc>
        <w:tc>
          <w:tcPr>
            <w:tcW w:w="996" w:type="dxa"/>
            <w:tcBorders>
              <w:top w:val="nil"/>
              <w:bottom w:val="nil"/>
            </w:tcBorders>
            <w:noWrap/>
            <w:hideMark/>
          </w:tcPr>
          <w:p w14:paraId="25F36317" w14:textId="4BBEC445" w:rsidR="005522F4" w:rsidRPr="005522F4" w:rsidRDefault="007D3A4D" w:rsidP="009B745E">
            <w:pPr>
              <w:tabs>
                <w:tab w:val="left" w:pos="467"/>
              </w:tabs>
              <w:jc w:val="center"/>
              <w:rPr>
                <w:rFonts w:ascii="Verdana" w:hAnsi="Verdana"/>
                <w:sz w:val="22"/>
                <w:szCs w:val="22"/>
              </w:rPr>
            </w:pPr>
            <w:r>
              <w:rPr>
                <w:rFonts w:ascii="Verdana" w:hAnsi="Verdana"/>
                <w:sz w:val="22"/>
                <w:szCs w:val="22"/>
              </w:rPr>
              <w:t>11</w:t>
            </w:r>
          </w:p>
        </w:tc>
        <w:tc>
          <w:tcPr>
            <w:tcW w:w="1359" w:type="dxa"/>
            <w:tcBorders>
              <w:top w:val="nil"/>
              <w:bottom w:val="nil"/>
              <w:right w:val="nil"/>
            </w:tcBorders>
            <w:noWrap/>
            <w:hideMark/>
          </w:tcPr>
          <w:p w14:paraId="052D29CC" w14:textId="106A1057" w:rsidR="005522F4" w:rsidRPr="005522F4" w:rsidRDefault="007D3A4D" w:rsidP="009B745E">
            <w:pPr>
              <w:tabs>
                <w:tab w:val="left" w:pos="467"/>
              </w:tabs>
              <w:jc w:val="center"/>
              <w:rPr>
                <w:rFonts w:ascii="Verdana" w:hAnsi="Verdana"/>
                <w:sz w:val="22"/>
                <w:szCs w:val="22"/>
              </w:rPr>
            </w:pPr>
            <w:r>
              <w:rPr>
                <w:rFonts w:ascii="Verdana" w:hAnsi="Verdana"/>
                <w:sz w:val="22"/>
                <w:szCs w:val="22"/>
              </w:rPr>
              <w:t>772</w:t>
            </w:r>
          </w:p>
        </w:tc>
      </w:tr>
      <w:tr w:rsidR="007D3A4D" w:rsidRPr="007D3A4D" w14:paraId="0D623676" w14:textId="77777777" w:rsidTr="009B745E">
        <w:trPr>
          <w:trHeight w:val="300"/>
        </w:trPr>
        <w:tc>
          <w:tcPr>
            <w:tcW w:w="4109" w:type="dxa"/>
            <w:tcBorders>
              <w:top w:val="nil"/>
              <w:left w:val="nil"/>
              <w:bottom w:val="nil"/>
            </w:tcBorders>
            <w:noWrap/>
          </w:tcPr>
          <w:p w14:paraId="7F30F254" w14:textId="7773B477" w:rsidR="007D3A4D" w:rsidRPr="007D3A4D" w:rsidRDefault="007D3A4D" w:rsidP="007D3A4D">
            <w:pPr>
              <w:tabs>
                <w:tab w:val="left" w:pos="467"/>
              </w:tabs>
              <w:rPr>
                <w:rFonts w:ascii="Verdana" w:hAnsi="Verdana"/>
                <w:sz w:val="22"/>
                <w:szCs w:val="22"/>
              </w:rPr>
            </w:pPr>
            <w:r w:rsidRPr="007D3A4D">
              <w:rPr>
                <w:rFonts w:ascii="Verdana" w:hAnsi="Verdana"/>
                <w:sz w:val="22"/>
                <w:szCs w:val="22"/>
              </w:rPr>
              <w:t>Bromford Housing Association Limited</w:t>
            </w:r>
          </w:p>
        </w:tc>
        <w:tc>
          <w:tcPr>
            <w:tcW w:w="1078" w:type="dxa"/>
            <w:tcBorders>
              <w:top w:val="nil"/>
              <w:bottom w:val="nil"/>
            </w:tcBorders>
          </w:tcPr>
          <w:p w14:paraId="13CD8AD6" w14:textId="53C00B8F" w:rsidR="007D3A4D" w:rsidRPr="007D3A4D" w:rsidRDefault="007D3A4D" w:rsidP="009B745E">
            <w:pPr>
              <w:tabs>
                <w:tab w:val="left" w:pos="467"/>
              </w:tabs>
              <w:jc w:val="center"/>
              <w:rPr>
                <w:rFonts w:ascii="Verdana" w:hAnsi="Verdana"/>
                <w:sz w:val="22"/>
                <w:szCs w:val="22"/>
              </w:rPr>
            </w:pPr>
            <w:r>
              <w:rPr>
                <w:rFonts w:ascii="Verdana" w:hAnsi="Verdana"/>
                <w:sz w:val="22"/>
                <w:szCs w:val="22"/>
              </w:rPr>
              <w:t>1025</w:t>
            </w:r>
          </w:p>
        </w:tc>
        <w:tc>
          <w:tcPr>
            <w:tcW w:w="1907" w:type="dxa"/>
            <w:tcBorders>
              <w:top w:val="nil"/>
              <w:bottom w:val="nil"/>
            </w:tcBorders>
            <w:noWrap/>
          </w:tcPr>
          <w:p w14:paraId="4F53F335" w14:textId="344F00F9" w:rsidR="007D3A4D" w:rsidRPr="007D3A4D" w:rsidRDefault="007D3A4D" w:rsidP="009B745E">
            <w:pPr>
              <w:tabs>
                <w:tab w:val="left" w:pos="467"/>
              </w:tabs>
              <w:jc w:val="center"/>
              <w:rPr>
                <w:rFonts w:ascii="Verdana" w:hAnsi="Verdana"/>
                <w:sz w:val="22"/>
                <w:szCs w:val="22"/>
              </w:rPr>
            </w:pPr>
            <w:r w:rsidRPr="007D3A4D">
              <w:rPr>
                <w:rFonts w:ascii="Verdana" w:hAnsi="Verdana"/>
                <w:sz w:val="22"/>
                <w:szCs w:val="22"/>
              </w:rPr>
              <w:t>378</w:t>
            </w:r>
          </w:p>
        </w:tc>
        <w:tc>
          <w:tcPr>
            <w:tcW w:w="1457" w:type="dxa"/>
            <w:tcBorders>
              <w:top w:val="nil"/>
              <w:bottom w:val="nil"/>
            </w:tcBorders>
            <w:noWrap/>
          </w:tcPr>
          <w:p w14:paraId="62A60C52" w14:textId="09C81337" w:rsidR="007D3A4D" w:rsidRPr="007D3A4D" w:rsidRDefault="007D3A4D" w:rsidP="009B745E">
            <w:pPr>
              <w:tabs>
                <w:tab w:val="left" w:pos="467"/>
              </w:tabs>
              <w:jc w:val="center"/>
              <w:rPr>
                <w:rFonts w:ascii="Verdana" w:hAnsi="Verdana"/>
                <w:sz w:val="22"/>
                <w:szCs w:val="22"/>
              </w:rPr>
            </w:pPr>
            <w:r w:rsidRPr="007D3A4D">
              <w:rPr>
                <w:rFonts w:ascii="Verdana" w:hAnsi="Verdana"/>
                <w:sz w:val="22"/>
                <w:szCs w:val="22"/>
              </w:rPr>
              <w:t>94</w:t>
            </w:r>
          </w:p>
        </w:tc>
        <w:tc>
          <w:tcPr>
            <w:tcW w:w="996" w:type="dxa"/>
            <w:tcBorders>
              <w:top w:val="nil"/>
              <w:bottom w:val="nil"/>
            </w:tcBorders>
            <w:noWrap/>
          </w:tcPr>
          <w:p w14:paraId="17339E5A" w14:textId="5B95EAAA" w:rsidR="007D3A4D" w:rsidRPr="007D3A4D" w:rsidRDefault="007D3A4D" w:rsidP="009B745E">
            <w:pPr>
              <w:tabs>
                <w:tab w:val="left" w:pos="467"/>
              </w:tabs>
              <w:jc w:val="center"/>
              <w:rPr>
                <w:rFonts w:ascii="Verdana" w:hAnsi="Verdana"/>
                <w:sz w:val="22"/>
                <w:szCs w:val="22"/>
              </w:rPr>
            </w:pPr>
            <w:r w:rsidRPr="007D3A4D">
              <w:rPr>
                <w:rFonts w:ascii="Verdana" w:hAnsi="Verdana"/>
                <w:sz w:val="22"/>
                <w:szCs w:val="22"/>
              </w:rPr>
              <w:t>553</w:t>
            </w:r>
          </w:p>
        </w:tc>
        <w:tc>
          <w:tcPr>
            <w:tcW w:w="1359" w:type="dxa"/>
            <w:tcBorders>
              <w:top w:val="nil"/>
              <w:bottom w:val="nil"/>
              <w:right w:val="nil"/>
            </w:tcBorders>
            <w:noWrap/>
          </w:tcPr>
          <w:p w14:paraId="324EA023" w14:textId="573BAA4F" w:rsidR="007D3A4D" w:rsidRPr="007D3A4D" w:rsidRDefault="007D3A4D" w:rsidP="009B745E">
            <w:pPr>
              <w:tabs>
                <w:tab w:val="left" w:pos="467"/>
              </w:tabs>
              <w:jc w:val="center"/>
              <w:rPr>
                <w:rFonts w:ascii="Verdana" w:hAnsi="Verdana"/>
                <w:sz w:val="22"/>
                <w:szCs w:val="22"/>
              </w:rPr>
            </w:pPr>
          </w:p>
        </w:tc>
      </w:tr>
      <w:tr w:rsidR="007D3A4D" w:rsidRPr="007D3A4D" w14:paraId="20F8BF50" w14:textId="77777777" w:rsidTr="009B745E">
        <w:trPr>
          <w:trHeight w:val="300"/>
        </w:trPr>
        <w:tc>
          <w:tcPr>
            <w:tcW w:w="4109" w:type="dxa"/>
            <w:tcBorders>
              <w:top w:val="nil"/>
              <w:left w:val="nil"/>
              <w:bottom w:val="nil"/>
            </w:tcBorders>
            <w:noWrap/>
            <w:hideMark/>
          </w:tcPr>
          <w:p w14:paraId="07005F35" w14:textId="5FE4D930" w:rsidR="007D3A4D" w:rsidRPr="007D3A4D" w:rsidRDefault="007D3A4D" w:rsidP="007D3A4D">
            <w:pPr>
              <w:tabs>
                <w:tab w:val="left" w:pos="467"/>
              </w:tabs>
              <w:rPr>
                <w:rFonts w:ascii="Verdana" w:hAnsi="Verdana"/>
                <w:sz w:val="22"/>
                <w:szCs w:val="22"/>
                <w:highlight w:val="yellow"/>
              </w:rPr>
            </w:pPr>
            <w:r w:rsidRPr="007D3A4D">
              <w:rPr>
                <w:rFonts w:ascii="Verdana" w:hAnsi="Verdana"/>
                <w:sz w:val="22"/>
                <w:szCs w:val="22"/>
              </w:rPr>
              <w:t>Clarion Housing Association Limited</w:t>
            </w:r>
          </w:p>
        </w:tc>
        <w:tc>
          <w:tcPr>
            <w:tcW w:w="1078" w:type="dxa"/>
            <w:tcBorders>
              <w:top w:val="nil"/>
              <w:bottom w:val="nil"/>
            </w:tcBorders>
          </w:tcPr>
          <w:p w14:paraId="34512A94" w14:textId="16095A3D" w:rsidR="007D3A4D" w:rsidRPr="007D3A4D" w:rsidRDefault="007D3A4D" w:rsidP="009B745E">
            <w:pPr>
              <w:tabs>
                <w:tab w:val="left" w:pos="467"/>
              </w:tabs>
              <w:jc w:val="center"/>
              <w:rPr>
                <w:rFonts w:ascii="Verdana" w:hAnsi="Verdana"/>
                <w:sz w:val="22"/>
                <w:szCs w:val="22"/>
              </w:rPr>
            </w:pPr>
            <w:r w:rsidRPr="007D3A4D">
              <w:rPr>
                <w:rFonts w:ascii="Verdana" w:hAnsi="Verdana"/>
                <w:sz w:val="22"/>
                <w:szCs w:val="22"/>
              </w:rPr>
              <w:t>804</w:t>
            </w:r>
          </w:p>
        </w:tc>
        <w:tc>
          <w:tcPr>
            <w:tcW w:w="1907" w:type="dxa"/>
            <w:tcBorders>
              <w:top w:val="nil"/>
              <w:bottom w:val="nil"/>
            </w:tcBorders>
            <w:noWrap/>
            <w:hideMark/>
          </w:tcPr>
          <w:p w14:paraId="28DB3DB1" w14:textId="77777777" w:rsidR="007D3A4D" w:rsidRPr="007D3A4D" w:rsidRDefault="007D3A4D" w:rsidP="009B745E">
            <w:pPr>
              <w:tabs>
                <w:tab w:val="left" w:pos="467"/>
              </w:tabs>
              <w:jc w:val="center"/>
              <w:rPr>
                <w:rFonts w:ascii="Verdana" w:hAnsi="Verdana"/>
                <w:sz w:val="22"/>
                <w:szCs w:val="22"/>
              </w:rPr>
            </w:pPr>
          </w:p>
        </w:tc>
        <w:tc>
          <w:tcPr>
            <w:tcW w:w="1457" w:type="dxa"/>
            <w:tcBorders>
              <w:top w:val="nil"/>
              <w:bottom w:val="nil"/>
            </w:tcBorders>
            <w:noWrap/>
            <w:hideMark/>
          </w:tcPr>
          <w:p w14:paraId="7DDA858A" w14:textId="55E52DE4" w:rsidR="007D3A4D" w:rsidRPr="007D3A4D" w:rsidRDefault="007D3A4D" w:rsidP="009B745E">
            <w:pPr>
              <w:tabs>
                <w:tab w:val="left" w:pos="467"/>
              </w:tabs>
              <w:jc w:val="center"/>
              <w:rPr>
                <w:rFonts w:ascii="Verdana" w:hAnsi="Verdana"/>
                <w:sz w:val="22"/>
                <w:szCs w:val="22"/>
              </w:rPr>
            </w:pPr>
            <w:r w:rsidRPr="007D3A4D">
              <w:rPr>
                <w:rFonts w:ascii="Verdana" w:hAnsi="Verdana"/>
                <w:sz w:val="22"/>
                <w:szCs w:val="22"/>
              </w:rPr>
              <w:t>72</w:t>
            </w:r>
          </w:p>
        </w:tc>
        <w:tc>
          <w:tcPr>
            <w:tcW w:w="996" w:type="dxa"/>
            <w:tcBorders>
              <w:top w:val="nil"/>
              <w:bottom w:val="nil"/>
            </w:tcBorders>
            <w:noWrap/>
            <w:hideMark/>
          </w:tcPr>
          <w:p w14:paraId="434201F5" w14:textId="6A172DA0" w:rsidR="007D3A4D" w:rsidRPr="007D3A4D" w:rsidRDefault="007D3A4D" w:rsidP="009B745E">
            <w:pPr>
              <w:tabs>
                <w:tab w:val="left" w:pos="467"/>
              </w:tabs>
              <w:jc w:val="center"/>
              <w:rPr>
                <w:rFonts w:ascii="Verdana" w:hAnsi="Verdana"/>
                <w:sz w:val="22"/>
                <w:szCs w:val="22"/>
              </w:rPr>
            </w:pPr>
            <w:r w:rsidRPr="007D3A4D">
              <w:rPr>
                <w:rFonts w:ascii="Verdana" w:hAnsi="Verdana"/>
                <w:sz w:val="22"/>
                <w:szCs w:val="22"/>
              </w:rPr>
              <w:t>680</w:t>
            </w:r>
          </w:p>
        </w:tc>
        <w:tc>
          <w:tcPr>
            <w:tcW w:w="1359" w:type="dxa"/>
            <w:tcBorders>
              <w:top w:val="nil"/>
              <w:bottom w:val="nil"/>
              <w:right w:val="nil"/>
            </w:tcBorders>
            <w:noWrap/>
            <w:hideMark/>
          </w:tcPr>
          <w:p w14:paraId="5651F389" w14:textId="6C387B6A" w:rsidR="007D3A4D" w:rsidRPr="007D3A4D" w:rsidRDefault="007D3A4D" w:rsidP="009B745E">
            <w:pPr>
              <w:tabs>
                <w:tab w:val="left" w:pos="467"/>
              </w:tabs>
              <w:jc w:val="center"/>
              <w:rPr>
                <w:rFonts w:ascii="Verdana" w:hAnsi="Verdana"/>
                <w:sz w:val="22"/>
                <w:szCs w:val="22"/>
              </w:rPr>
            </w:pPr>
            <w:r w:rsidRPr="007D3A4D">
              <w:rPr>
                <w:rFonts w:ascii="Verdana" w:hAnsi="Verdana"/>
                <w:sz w:val="22"/>
                <w:szCs w:val="22"/>
              </w:rPr>
              <w:t>52</w:t>
            </w:r>
          </w:p>
        </w:tc>
      </w:tr>
      <w:tr w:rsidR="005522F4" w:rsidRPr="005522F4" w14:paraId="4EB949EA" w14:textId="77777777" w:rsidTr="009B745E">
        <w:trPr>
          <w:trHeight w:val="300"/>
        </w:trPr>
        <w:tc>
          <w:tcPr>
            <w:tcW w:w="4109" w:type="dxa"/>
            <w:tcBorders>
              <w:top w:val="nil"/>
              <w:left w:val="nil"/>
              <w:bottom w:val="nil"/>
            </w:tcBorders>
            <w:noWrap/>
            <w:hideMark/>
          </w:tcPr>
          <w:p w14:paraId="01D03329" w14:textId="66FB7578" w:rsidR="005522F4" w:rsidRPr="00D522CB" w:rsidRDefault="005522F4" w:rsidP="00102F57">
            <w:pPr>
              <w:tabs>
                <w:tab w:val="left" w:pos="467"/>
              </w:tabs>
              <w:rPr>
                <w:rFonts w:ascii="Verdana" w:hAnsi="Verdana"/>
                <w:sz w:val="22"/>
                <w:szCs w:val="22"/>
              </w:rPr>
            </w:pPr>
            <w:r w:rsidRPr="00D522CB">
              <w:rPr>
                <w:rFonts w:ascii="Verdana" w:hAnsi="Verdana"/>
                <w:sz w:val="22"/>
                <w:szCs w:val="22"/>
              </w:rPr>
              <w:t>Orbit Group</w:t>
            </w:r>
            <w:r w:rsidR="00102F57" w:rsidRPr="00D522CB">
              <w:rPr>
                <w:rFonts w:ascii="Verdana" w:hAnsi="Verdana"/>
                <w:sz w:val="22"/>
                <w:szCs w:val="22"/>
              </w:rPr>
              <w:t xml:space="preserve"> </w:t>
            </w:r>
            <w:r w:rsidR="007D3A4D">
              <w:rPr>
                <w:rFonts w:ascii="Verdana" w:hAnsi="Verdana"/>
                <w:sz w:val="22"/>
                <w:szCs w:val="22"/>
              </w:rPr>
              <w:t>Limited</w:t>
            </w:r>
          </w:p>
        </w:tc>
        <w:tc>
          <w:tcPr>
            <w:tcW w:w="1078" w:type="dxa"/>
            <w:tcBorders>
              <w:top w:val="nil"/>
              <w:bottom w:val="nil"/>
            </w:tcBorders>
          </w:tcPr>
          <w:p w14:paraId="2B47703B" w14:textId="2D14DCD5"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6</w:t>
            </w:r>
            <w:r w:rsidR="00EE34DD">
              <w:rPr>
                <w:rFonts w:ascii="Verdana" w:hAnsi="Verdana"/>
                <w:sz w:val="22"/>
                <w:szCs w:val="22"/>
              </w:rPr>
              <w:t>86</w:t>
            </w:r>
          </w:p>
        </w:tc>
        <w:tc>
          <w:tcPr>
            <w:tcW w:w="1907" w:type="dxa"/>
            <w:tcBorders>
              <w:top w:val="nil"/>
              <w:bottom w:val="nil"/>
            </w:tcBorders>
            <w:noWrap/>
            <w:hideMark/>
          </w:tcPr>
          <w:p w14:paraId="6EA95416" w14:textId="53FF2921" w:rsidR="005522F4" w:rsidRPr="005522F4" w:rsidRDefault="007D3A4D" w:rsidP="009B745E">
            <w:pPr>
              <w:tabs>
                <w:tab w:val="left" w:pos="467"/>
              </w:tabs>
              <w:jc w:val="center"/>
              <w:rPr>
                <w:rFonts w:ascii="Verdana" w:hAnsi="Verdana"/>
                <w:sz w:val="22"/>
                <w:szCs w:val="22"/>
              </w:rPr>
            </w:pPr>
            <w:r>
              <w:rPr>
                <w:rFonts w:ascii="Verdana" w:hAnsi="Verdana"/>
                <w:sz w:val="22"/>
                <w:szCs w:val="22"/>
              </w:rPr>
              <w:t>22</w:t>
            </w:r>
          </w:p>
        </w:tc>
        <w:tc>
          <w:tcPr>
            <w:tcW w:w="1457" w:type="dxa"/>
            <w:tcBorders>
              <w:top w:val="nil"/>
              <w:bottom w:val="nil"/>
            </w:tcBorders>
            <w:noWrap/>
            <w:hideMark/>
          </w:tcPr>
          <w:p w14:paraId="710BB9DD" w14:textId="2ED755FA" w:rsidR="005522F4" w:rsidRPr="005522F4" w:rsidRDefault="007D3A4D" w:rsidP="009B745E">
            <w:pPr>
              <w:tabs>
                <w:tab w:val="left" w:pos="467"/>
              </w:tabs>
              <w:jc w:val="center"/>
              <w:rPr>
                <w:rFonts w:ascii="Verdana" w:hAnsi="Verdana"/>
                <w:sz w:val="22"/>
                <w:szCs w:val="22"/>
              </w:rPr>
            </w:pPr>
            <w:r>
              <w:rPr>
                <w:rFonts w:ascii="Verdana" w:hAnsi="Verdana"/>
                <w:sz w:val="22"/>
                <w:szCs w:val="22"/>
              </w:rPr>
              <w:t>91</w:t>
            </w:r>
          </w:p>
        </w:tc>
        <w:tc>
          <w:tcPr>
            <w:tcW w:w="996" w:type="dxa"/>
            <w:tcBorders>
              <w:top w:val="nil"/>
              <w:bottom w:val="nil"/>
            </w:tcBorders>
            <w:noWrap/>
            <w:hideMark/>
          </w:tcPr>
          <w:p w14:paraId="69E64673" w14:textId="7C8062C1" w:rsidR="005522F4" w:rsidRPr="005522F4" w:rsidRDefault="007D3A4D" w:rsidP="009B745E">
            <w:pPr>
              <w:tabs>
                <w:tab w:val="left" w:pos="467"/>
              </w:tabs>
              <w:jc w:val="center"/>
              <w:rPr>
                <w:rFonts w:ascii="Verdana" w:hAnsi="Verdana"/>
                <w:sz w:val="22"/>
                <w:szCs w:val="22"/>
              </w:rPr>
            </w:pPr>
            <w:r>
              <w:rPr>
                <w:rFonts w:ascii="Verdana" w:hAnsi="Verdana"/>
                <w:sz w:val="22"/>
                <w:szCs w:val="22"/>
              </w:rPr>
              <w:t>228</w:t>
            </w:r>
          </w:p>
        </w:tc>
        <w:tc>
          <w:tcPr>
            <w:tcW w:w="1359" w:type="dxa"/>
            <w:tcBorders>
              <w:top w:val="nil"/>
              <w:bottom w:val="nil"/>
              <w:right w:val="nil"/>
            </w:tcBorders>
            <w:noWrap/>
            <w:hideMark/>
          </w:tcPr>
          <w:p w14:paraId="42298AA9" w14:textId="46480EB2" w:rsidR="005522F4" w:rsidRPr="005522F4" w:rsidRDefault="007D3A4D" w:rsidP="009B745E">
            <w:pPr>
              <w:tabs>
                <w:tab w:val="left" w:pos="467"/>
              </w:tabs>
              <w:jc w:val="center"/>
              <w:rPr>
                <w:rFonts w:ascii="Verdana" w:hAnsi="Verdana"/>
                <w:sz w:val="22"/>
                <w:szCs w:val="22"/>
              </w:rPr>
            </w:pPr>
            <w:r>
              <w:rPr>
                <w:rFonts w:ascii="Verdana" w:hAnsi="Verdana"/>
                <w:sz w:val="22"/>
                <w:szCs w:val="22"/>
              </w:rPr>
              <w:t>345</w:t>
            </w:r>
          </w:p>
        </w:tc>
      </w:tr>
      <w:tr w:rsidR="007D3A4D" w:rsidRPr="005522F4" w14:paraId="5ACC6175" w14:textId="77777777" w:rsidTr="009B745E">
        <w:trPr>
          <w:trHeight w:val="300"/>
        </w:trPr>
        <w:tc>
          <w:tcPr>
            <w:tcW w:w="4109" w:type="dxa"/>
            <w:tcBorders>
              <w:top w:val="nil"/>
              <w:left w:val="nil"/>
              <w:bottom w:val="nil"/>
            </w:tcBorders>
            <w:noWrap/>
          </w:tcPr>
          <w:p w14:paraId="7F7D99BC" w14:textId="3C637B02" w:rsidR="007D3A4D" w:rsidRPr="00915395" w:rsidRDefault="007D3A4D" w:rsidP="005522F4">
            <w:pPr>
              <w:tabs>
                <w:tab w:val="left" w:pos="467"/>
              </w:tabs>
              <w:rPr>
                <w:rFonts w:ascii="Verdana" w:hAnsi="Verdana"/>
                <w:sz w:val="22"/>
                <w:szCs w:val="22"/>
              </w:rPr>
            </w:pPr>
            <w:r>
              <w:rPr>
                <w:rFonts w:ascii="Verdana" w:hAnsi="Verdana"/>
                <w:sz w:val="22"/>
                <w:szCs w:val="22"/>
              </w:rPr>
              <w:t>Citizen Housing Group Limited</w:t>
            </w:r>
          </w:p>
        </w:tc>
        <w:tc>
          <w:tcPr>
            <w:tcW w:w="1078" w:type="dxa"/>
            <w:tcBorders>
              <w:top w:val="nil"/>
              <w:bottom w:val="nil"/>
            </w:tcBorders>
          </w:tcPr>
          <w:p w14:paraId="107FC087" w14:textId="098B3AC9" w:rsidR="007D3A4D" w:rsidRPr="005522F4" w:rsidRDefault="007D3A4D" w:rsidP="009B745E">
            <w:pPr>
              <w:tabs>
                <w:tab w:val="left" w:pos="467"/>
              </w:tabs>
              <w:jc w:val="center"/>
              <w:rPr>
                <w:rFonts w:ascii="Verdana" w:hAnsi="Verdana"/>
                <w:sz w:val="22"/>
                <w:szCs w:val="22"/>
              </w:rPr>
            </w:pPr>
            <w:r>
              <w:rPr>
                <w:rFonts w:ascii="Verdana" w:hAnsi="Verdana"/>
                <w:sz w:val="22"/>
                <w:szCs w:val="22"/>
              </w:rPr>
              <w:t>668</w:t>
            </w:r>
          </w:p>
        </w:tc>
        <w:tc>
          <w:tcPr>
            <w:tcW w:w="1907" w:type="dxa"/>
            <w:tcBorders>
              <w:top w:val="nil"/>
              <w:bottom w:val="nil"/>
            </w:tcBorders>
            <w:noWrap/>
          </w:tcPr>
          <w:p w14:paraId="1009BF02" w14:textId="61D4B21F" w:rsidR="007D3A4D" w:rsidRPr="005522F4" w:rsidRDefault="007D3A4D" w:rsidP="009B745E">
            <w:pPr>
              <w:tabs>
                <w:tab w:val="left" w:pos="467"/>
              </w:tabs>
              <w:jc w:val="center"/>
              <w:rPr>
                <w:rFonts w:ascii="Verdana" w:hAnsi="Verdana"/>
                <w:sz w:val="22"/>
                <w:szCs w:val="22"/>
              </w:rPr>
            </w:pPr>
            <w:r>
              <w:rPr>
                <w:rFonts w:ascii="Verdana" w:hAnsi="Verdana"/>
                <w:sz w:val="22"/>
                <w:szCs w:val="22"/>
              </w:rPr>
              <w:t>47</w:t>
            </w:r>
          </w:p>
        </w:tc>
        <w:tc>
          <w:tcPr>
            <w:tcW w:w="1457" w:type="dxa"/>
            <w:tcBorders>
              <w:top w:val="nil"/>
              <w:bottom w:val="nil"/>
            </w:tcBorders>
            <w:noWrap/>
          </w:tcPr>
          <w:p w14:paraId="60F15989" w14:textId="50E188E4" w:rsidR="007D3A4D" w:rsidRPr="005522F4" w:rsidRDefault="007D3A4D" w:rsidP="009B745E">
            <w:pPr>
              <w:tabs>
                <w:tab w:val="left" w:pos="467"/>
              </w:tabs>
              <w:jc w:val="center"/>
              <w:rPr>
                <w:rFonts w:ascii="Verdana" w:hAnsi="Verdana"/>
                <w:sz w:val="22"/>
                <w:szCs w:val="22"/>
              </w:rPr>
            </w:pPr>
            <w:r>
              <w:rPr>
                <w:rFonts w:ascii="Verdana" w:hAnsi="Verdana"/>
                <w:sz w:val="22"/>
                <w:szCs w:val="22"/>
              </w:rPr>
              <w:t>271</w:t>
            </w:r>
          </w:p>
        </w:tc>
        <w:tc>
          <w:tcPr>
            <w:tcW w:w="996" w:type="dxa"/>
            <w:tcBorders>
              <w:top w:val="nil"/>
              <w:bottom w:val="nil"/>
            </w:tcBorders>
            <w:noWrap/>
          </w:tcPr>
          <w:p w14:paraId="2604C43F" w14:textId="21730821" w:rsidR="007D3A4D" w:rsidRPr="005522F4" w:rsidRDefault="007D3A4D" w:rsidP="009B745E">
            <w:pPr>
              <w:tabs>
                <w:tab w:val="left" w:pos="467"/>
              </w:tabs>
              <w:jc w:val="center"/>
              <w:rPr>
                <w:rFonts w:ascii="Verdana" w:hAnsi="Verdana"/>
                <w:sz w:val="22"/>
                <w:szCs w:val="22"/>
              </w:rPr>
            </w:pPr>
            <w:r>
              <w:rPr>
                <w:rFonts w:ascii="Verdana" w:hAnsi="Verdana"/>
                <w:sz w:val="22"/>
                <w:szCs w:val="22"/>
              </w:rPr>
              <w:t>158</w:t>
            </w:r>
          </w:p>
        </w:tc>
        <w:tc>
          <w:tcPr>
            <w:tcW w:w="1359" w:type="dxa"/>
            <w:tcBorders>
              <w:top w:val="nil"/>
              <w:bottom w:val="nil"/>
              <w:right w:val="nil"/>
            </w:tcBorders>
            <w:noWrap/>
          </w:tcPr>
          <w:p w14:paraId="1FE978CF" w14:textId="1119609C" w:rsidR="007D3A4D" w:rsidRPr="005522F4" w:rsidRDefault="007D3A4D" w:rsidP="009B745E">
            <w:pPr>
              <w:tabs>
                <w:tab w:val="left" w:pos="467"/>
              </w:tabs>
              <w:jc w:val="center"/>
              <w:rPr>
                <w:rFonts w:ascii="Verdana" w:hAnsi="Verdana"/>
                <w:sz w:val="22"/>
                <w:szCs w:val="22"/>
              </w:rPr>
            </w:pPr>
            <w:r>
              <w:rPr>
                <w:rFonts w:ascii="Verdana" w:hAnsi="Verdana"/>
                <w:sz w:val="22"/>
                <w:szCs w:val="22"/>
              </w:rPr>
              <w:t>192</w:t>
            </w:r>
          </w:p>
        </w:tc>
      </w:tr>
      <w:tr w:rsidR="005522F4" w:rsidRPr="005522F4" w14:paraId="673E3BC9" w14:textId="77777777" w:rsidTr="009B745E">
        <w:trPr>
          <w:trHeight w:val="300"/>
        </w:trPr>
        <w:tc>
          <w:tcPr>
            <w:tcW w:w="4109" w:type="dxa"/>
            <w:tcBorders>
              <w:top w:val="nil"/>
              <w:left w:val="nil"/>
              <w:bottom w:val="nil"/>
            </w:tcBorders>
            <w:noWrap/>
            <w:hideMark/>
          </w:tcPr>
          <w:p w14:paraId="35556BA7" w14:textId="77777777" w:rsidR="005522F4" w:rsidRPr="00915395" w:rsidRDefault="005522F4" w:rsidP="005522F4">
            <w:pPr>
              <w:tabs>
                <w:tab w:val="left" w:pos="467"/>
              </w:tabs>
              <w:rPr>
                <w:rFonts w:ascii="Verdana" w:hAnsi="Verdana"/>
                <w:sz w:val="22"/>
                <w:szCs w:val="22"/>
              </w:rPr>
            </w:pPr>
            <w:r w:rsidRPr="00915395">
              <w:rPr>
                <w:rFonts w:ascii="Verdana" w:hAnsi="Verdana"/>
                <w:sz w:val="22"/>
                <w:szCs w:val="22"/>
              </w:rPr>
              <w:t>Housing 21</w:t>
            </w:r>
          </w:p>
        </w:tc>
        <w:tc>
          <w:tcPr>
            <w:tcW w:w="1078" w:type="dxa"/>
            <w:tcBorders>
              <w:top w:val="nil"/>
              <w:bottom w:val="nil"/>
            </w:tcBorders>
          </w:tcPr>
          <w:p w14:paraId="290FB0BF" w14:textId="686F08BE" w:rsidR="005522F4" w:rsidRPr="005522F4" w:rsidRDefault="00B94A01" w:rsidP="009B745E">
            <w:pPr>
              <w:tabs>
                <w:tab w:val="left" w:pos="467"/>
              </w:tabs>
              <w:jc w:val="center"/>
              <w:rPr>
                <w:rFonts w:ascii="Verdana" w:hAnsi="Verdana"/>
                <w:sz w:val="22"/>
                <w:szCs w:val="22"/>
              </w:rPr>
            </w:pPr>
            <w:r>
              <w:rPr>
                <w:rFonts w:ascii="Verdana" w:hAnsi="Verdana"/>
                <w:sz w:val="22"/>
                <w:szCs w:val="22"/>
              </w:rPr>
              <w:t>466</w:t>
            </w:r>
          </w:p>
        </w:tc>
        <w:tc>
          <w:tcPr>
            <w:tcW w:w="1907" w:type="dxa"/>
            <w:tcBorders>
              <w:top w:val="nil"/>
              <w:bottom w:val="nil"/>
            </w:tcBorders>
            <w:noWrap/>
            <w:hideMark/>
          </w:tcPr>
          <w:p w14:paraId="59FC6960"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4363677C" w14:textId="08CCCE03" w:rsidR="005522F4" w:rsidRPr="005522F4" w:rsidRDefault="00B94A01" w:rsidP="009B745E">
            <w:pPr>
              <w:tabs>
                <w:tab w:val="left" w:pos="467"/>
              </w:tabs>
              <w:jc w:val="center"/>
              <w:rPr>
                <w:rFonts w:ascii="Verdana" w:hAnsi="Verdana"/>
                <w:sz w:val="22"/>
                <w:szCs w:val="22"/>
              </w:rPr>
            </w:pPr>
            <w:r>
              <w:rPr>
                <w:rFonts w:ascii="Verdana" w:hAnsi="Verdana"/>
                <w:sz w:val="22"/>
                <w:szCs w:val="22"/>
              </w:rPr>
              <w:t>199</w:t>
            </w:r>
          </w:p>
        </w:tc>
        <w:tc>
          <w:tcPr>
            <w:tcW w:w="996" w:type="dxa"/>
            <w:tcBorders>
              <w:top w:val="nil"/>
              <w:bottom w:val="nil"/>
            </w:tcBorders>
            <w:noWrap/>
            <w:hideMark/>
          </w:tcPr>
          <w:p w14:paraId="5785D131" w14:textId="7DE070D8" w:rsidR="005522F4" w:rsidRPr="005522F4" w:rsidRDefault="00B94A01" w:rsidP="009B745E">
            <w:pPr>
              <w:tabs>
                <w:tab w:val="left" w:pos="467"/>
              </w:tabs>
              <w:jc w:val="center"/>
              <w:rPr>
                <w:rFonts w:ascii="Verdana" w:hAnsi="Verdana"/>
                <w:sz w:val="22"/>
                <w:szCs w:val="22"/>
              </w:rPr>
            </w:pPr>
            <w:r>
              <w:rPr>
                <w:rFonts w:ascii="Verdana" w:hAnsi="Verdana"/>
                <w:sz w:val="22"/>
                <w:szCs w:val="22"/>
              </w:rPr>
              <w:t>107</w:t>
            </w:r>
          </w:p>
        </w:tc>
        <w:tc>
          <w:tcPr>
            <w:tcW w:w="1359" w:type="dxa"/>
            <w:tcBorders>
              <w:top w:val="nil"/>
              <w:bottom w:val="nil"/>
              <w:right w:val="nil"/>
            </w:tcBorders>
            <w:noWrap/>
            <w:hideMark/>
          </w:tcPr>
          <w:p w14:paraId="43B73A23" w14:textId="07170111" w:rsidR="005522F4" w:rsidRPr="005522F4" w:rsidRDefault="00B94A01" w:rsidP="009B745E">
            <w:pPr>
              <w:tabs>
                <w:tab w:val="left" w:pos="467"/>
              </w:tabs>
              <w:jc w:val="center"/>
              <w:rPr>
                <w:rFonts w:ascii="Verdana" w:hAnsi="Verdana"/>
                <w:sz w:val="22"/>
                <w:szCs w:val="22"/>
              </w:rPr>
            </w:pPr>
            <w:r>
              <w:rPr>
                <w:rFonts w:ascii="Verdana" w:hAnsi="Verdana"/>
                <w:sz w:val="22"/>
                <w:szCs w:val="22"/>
              </w:rPr>
              <w:t>192</w:t>
            </w:r>
          </w:p>
        </w:tc>
      </w:tr>
      <w:tr w:rsidR="00B94A01" w:rsidRPr="005522F4" w14:paraId="5E9CBFC4" w14:textId="77777777" w:rsidTr="009B745E">
        <w:trPr>
          <w:trHeight w:val="300"/>
        </w:trPr>
        <w:tc>
          <w:tcPr>
            <w:tcW w:w="4109" w:type="dxa"/>
            <w:tcBorders>
              <w:top w:val="nil"/>
              <w:left w:val="nil"/>
              <w:bottom w:val="nil"/>
            </w:tcBorders>
            <w:noWrap/>
          </w:tcPr>
          <w:p w14:paraId="0C4C35C9" w14:textId="1AAEC1D3" w:rsidR="00B94A01" w:rsidRPr="00B94A01" w:rsidRDefault="00B94A01" w:rsidP="00B94A01">
            <w:pPr>
              <w:tabs>
                <w:tab w:val="left" w:pos="467"/>
              </w:tabs>
              <w:rPr>
                <w:rFonts w:ascii="Verdana" w:hAnsi="Verdana"/>
                <w:sz w:val="22"/>
                <w:szCs w:val="22"/>
              </w:rPr>
            </w:pPr>
            <w:r w:rsidRPr="00B94A01">
              <w:rPr>
                <w:rFonts w:ascii="Verdana" w:hAnsi="Verdana"/>
                <w:sz w:val="22"/>
                <w:szCs w:val="22"/>
              </w:rPr>
              <w:t>Southern Housing</w:t>
            </w:r>
          </w:p>
        </w:tc>
        <w:tc>
          <w:tcPr>
            <w:tcW w:w="1078" w:type="dxa"/>
            <w:tcBorders>
              <w:top w:val="nil"/>
              <w:bottom w:val="nil"/>
            </w:tcBorders>
          </w:tcPr>
          <w:p w14:paraId="62B81358" w14:textId="3D4E6A7C"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211</w:t>
            </w:r>
          </w:p>
        </w:tc>
        <w:tc>
          <w:tcPr>
            <w:tcW w:w="1907" w:type="dxa"/>
            <w:tcBorders>
              <w:top w:val="nil"/>
              <w:bottom w:val="nil"/>
            </w:tcBorders>
            <w:noWrap/>
          </w:tcPr>
          <w:p w14:paraId="4ACB0111" w14:textId="0457DEAF"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58</w:t>
            </w:r>
          </w:p>
        </w:tc>
        <w:tc>
          <w:tcPr>
            <w:tcW w:w="1457" w:type="dxa"/>
            <w:tcBorders>
              <w:top w:val="nil"/>
              <w:bottom w:val="nil"/>
            </w:tcBorders>
            <w:noWrap/>
          </w:tcPr>
          <w:p w14:paraId="68F4CACE" w14:textId="77777777" w:rsidR="00B94A01" w:rsidRPr="00B94A01" w:rsidRDefault="00B94A01" w:rsidP="009B745E">
            <w:pPr>
              <w:tabs>
                <w:tab w:val="left" w:pos="467"/>
              </w:tabs>
              <w:jc w:val="center"/>
              <w:rPr>
                <w:rFonts w:ascii="Verdana" w:hAnsi="Verdana"/>
                <w:sz w:val="22"/>
                <w:szCs w:val="22"/>
              </w:rPr>
            </w:pPr>
          </w:p>
        </w:tc>
        <w:tc>
          <w:tcPr>
            <w:tcW w:w="996" w:type="dxa"/>
            <w:tcBorders>
              <w:top w:val="nil"/>
              <w:bottom w:val="nil"/>
            </w:tcBorders>
            <w:noWrap/>
          </w:tcPr>
          <w:p w14:paraId="121534AE" w14:textId="77777777" w:rsidR="00B94A01" w:rsidRPr="00B94A01" w:rsidRDefault="00B94A01" w:rsidP="009B745E">
            <w:pPr>
              <w:tabs>
                <w:tab w:val="left" w:pos="467"/>
              </w:tabs>
              <w:jc w:val="center"/>
              <w:rPr>
                <w:rFonts w:ascii="Verdana" w:hAnsi="Verdana"/>
                <w:sz w:val="22"/>
                <w:szCs w:val="22"/>
              </w:rPr>
            </w:pPr>
          </w:p>
        </w:tc>
        <w:tc>
          <w:tcPr>
            <w:tcW w:w="1359" w:type="dxa"/>
            <w:tcBorders>
              <w:top w:val="nil"/>
              <w:bottom w:val="nil"/>
              <w:right w:val="nil"/>
            </w:tcBorders>
            <w:noWrap/>
          </w:tcPr>
          <w:p w14:paraId="5292A3A5" w14:textId="3A068590"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153</w:t>
            </w:r>
          </w:p>
        </w:tc>
      </w:tr>
      <w:tr w:rsidR="005522F4" w:rsidRPr="005522F4" w14:paraId="531F891E" w14:textId="77777777" w:rsidTr="009B745E">
        <w:trPr>
          <w:trHeight w:val="300"/>
        </w:trPr>
        <w:tc>
          <w:tcPr>
            <w:tcW w:w="4109" w:type="dxa"/>
            <w:tcBorders>
              <w:top w:val="nil"/>
              <w:left w:val="nil"/>
              <w:bottom w:val="nil"/>
            </w:tcBorders>
            <w:noWrap/>
            <w:hideMark/>
          </w:tcPr>
          <w:p w14:paraId="103F94FC" w14:textId="77777777" w:rsidR="005522F4" w:rsidRPr="0036788A" w:rsidRDefault="005522F4" w:rsidP="005522F4">
            <w:pPr>
              <w:tabs>
                <w:tab w:val="left" w:pos="467"/>
              </w:tabs>
              <w:rPr>
                <w:rFonts w:ascii="Verdana" w:hAnsi="Verdana"/>
                <w:sz w:val="22"/>
                <w:szCs w:val="22"/>
              </w:rPr>
            </w:pPr>
            <w:r w:rsidRPr="0036788A">
              <w:rPr>
                <w:rFonts w:ascii="Verdana" w:hAnsi="Verdana"/>
                <w:sz w:val="22"/>
                <w:szCs w:val="22"/>
              </w:rPr>
              <w:t>Paragon Asra Housing</w:t>
            </w:r>
          </w:p>
        </w:tc>
        <w:tc>
          <w:tcPr>
            <w:tcW w:w="1078" w:type="dxa"/>
            <w:tcBorders>
              <w:top w:val="nil"/>
              <w:bottom w:val="nil"/>
            </w:tcBorders>
          </w:tcPr>
          <w:p w14:paraId="72433ACC" w14:textId="602FF283"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20</w:t>
            </w:r>
            <w:r w:rsidR="00B94A01">
              <w:rPr>
                <w:rFonts w:ascii="Verdana" w:hAnsi="Verdana"/>
                <w:sz w:val="22"/>
                <w:szCs w:val="22"/>
              </w:rPr>
              <w:t>4</w:t>
            </w:r>
          </w:p>
        </w:tc>
        <w:tc>
          <w:tcPr>
            <w:tcW w:w="1907" w:type="dxa"/>
            <w:tcBorders>
              <w:top w:val="nil"/>
              <w:bottom w:val="nil"/>
            </w:tcBorders>
            <w:noWrap/>
            <w:hideMark/>
          </w:tcPr>
          <w:p w14:paraId="1833873E" w14:textId="430D6C8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5</w:t>
            </w:r>
            <w:r w:rsidR="00B94A01">
              <w:rPr>
                <w:rFonts w:ascii="Verdana" w:hAnsi="Verdana"/>
                <w:sz w:val="22"/>
                <w:szCs w:val="22"/>
              </w:rPr>
              <w:t>5</w:t>
            </w:r>
          </w:p>
        </w:tc>
        <w:tc>
          <w:tcPr>
            <w:tcW w:w="1457" w:type="dxa"/>
            <w:tcBorders>
              <w:top w:val="nil"/>
              <w:bottom w:val="nil"/>
            </w:tcBorders>
            <w:noWrap/>
            <w:hideMark/>
          </w:tcPr>
          <w:p w14:paraId="0BD814FE" w14:textId="01260324"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9</w:t>
            </w:r>
            <w:r w:rsidR="00B94A01">
              <w:rPr>
                <w:rFonts w:ascii="Verdana" w:hAnsi="Verdana"/>
                <w:sz w:val="22"/>
                <w:szCs w:val="22"/>
              </w:rPr>
              <w:t>3</w:t>
            </w:r>
          </w:p>
        </w:tc>
        <w:tc>
          <w:tcPr>
            <w:tcW w:w="996" w:type="dxa"/>
            <w:tcBorders>
              <w:top w:val="nil"/>
              <w:bottom w:val="nil"/>
            </w:tcBorders>
            <w:noWrap/>
            <w:hideMark/>
          </w:tcPr>
          <w:p w14:paraId="7BAA01FA" w14:textId="53123ABE"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5</w:t>
            </w:r>
            <w:r w:rsidR="00B94A01">
              <w:rPr>
                <w:rFonts w:ascii="Verdana" w:hAnsi="Verdana"/>
                <w:sz w:val="22"/>
                <w:szCs w:val="22"/>
              </w:rPr>
              <w:t>6</w:t>
            </w:r>
          </w:p>
        </w:tc>
        <w:tc>
          <w:tcPr>
            <w:tcW w:w="1359" w:type="dxa"/>
            <w:tcBorders>
              <w:top w:val="nil"/>
              <w:bottom w:val="nil"/>
              <w:right w:val="nil"/>
            </w:tcBorders>
            <w:noWrap/>
            <w:hideMark/>
          </w:tcPr>
          <w:p w14:paraId="441ACC61" w14:textId="77777777" w:rsidR="005522F4" w:rsidRPr="005522F4" w:rsidRDefault="005522F4" w:rsidP="009B745E">
            <w:pPr>
              <w:tabs>
                <w:tab w:val="left" w:pos="467"/>
              </w:tabs>
              <w:jc w:val="center"/>
              <w:rPr>
                <w:rFonts w:ascii="Verdana" w:hAnsi="Verdana"/>
                <w:sz w:val="22"/>
                <w:szCs w:val="22"/>
              </w:rPr>
            </w:pPr>
          </w:p>
        </w:tc>
      </w:tr>
      <w:tr w:rsidR="00B94A01" w:rsidRPr="005522F4" w14:paraId="53BB6849" w14:textId="77777777" w:rsidTr="009B745E">
        <w:trPr>
          <w:trHeight w:val="300"/>
        </w:trPr>
        <w:tc>
          <w:tcPr>
            <w:tcW w:w="4109" w:type="dxa"/>
            <w:tcBorders>
              <w:top w:val="nil"/>
              <w:left w:val="nil"/>
              <w:bottom w:val="nil"/>
            </w:tcBorders>
            <w:noWrap/>
          </w:tcPr>
          <w:p w14:paraId="46A6BFF8" w14:textId="5AC12034" w:rsidR="00B94A01" w:rsidRPr="0036788A" w:rsidRDefault="00B94A01" w:rsidP="005522F4">
            <w:pPr>
              <w:tabs>
                <w:tab w:val="left" w:pos="467"/>
              </w:tabs>
              <w:rPr>
                <w:rFonts w:ascii="Verdana" w:hAnsi="Verdana"/>
                <w:sz w:val="22"/>
                <w:szCs w:val="22"/>
              </w:rPr>
            </w:pPr>
            <w:r>
              <w:rPr>
                <w:rFonts w:ascii="Verdana" w:hAnsi="Verdana"/>
                <w:sz w:val="22"/>
                <w:szCs w:val="22"/>
              </w:rPr>
              <w:t>Sage Housing Limited</w:t>
            </w:r>
          </w:p>
        </w:tc>
        <w:tc>
          <w:tcPr>
            <w:tcW w:w="1078" w:type="dxa"/>
            <w:tcBorders>
              <w:top w:val="nil"/>
              <w:bottom w:val="nil"/>
            </w:tcBorders>
          </w:tcPr>
          <w:p w14:paraId="061F686F" w14:textId="487F667B" w:rsidR="00B94A01" w:rsidRPr="005522F4" w:rsidRDefault="00B94A01" w:rsidP="009B745E">
            <w:pPr>
              <w:tabs>
                <w:tab w:val="left" w:pos="467"/>
              </w:tabs>
              <w:jc w:val="center"/>
              <w:rPr>
                <w:rFonts w:ascii="Verdana" w:hAnsi="Verdana"/>
                <w:sz w:val="22"/>
                <w:szCs w:val="22"/>
              </w:rPr>
            </w:pPr>
            <w:r>
              <w:rPr>
                <w:rFonts w:ascii="Verdana" w:hAnsi="Verdana"/>
                <w:sz w:val="22"/>
                <w:szCs w:val="22"/>
              </w:rPr>
              <w:t>182</w:t>
            </w:r>
          </w:p>
        </w:tc>
        <w:tc>
          <w:tcPr>
            <w:tcW w:w="1907" w:type="dxa"/>
            <w:tcBorders>
              <w:top w:val="nil"/>
              <w:bottom w:val="nil"/>
            </w:tcBorders>
            <w:noWrap/>
          </w:tcPr>
          <w:p w14:paraId="7DF62DE8" w14:textId="2CE2571B" w:rsidR="00B94A01" w:rsidRPr="005522F4" w:rsidRDefault="00B94A01" w:rsidP="009B745E">
            <w:pPr>
              <w:tabs>
                <w:tab w:val="left" w:pos="467"/>
              </w:tabs>
              <w:jc w:val="center"/>
              <w:rPr>
                <w:rFonts w:ascii="Verdana" w:hAnsi="Verdana"/>
                <w:sz w:val="22"/>
                <w:szCs w:val="22"/>
              </w:rPr>
            </w:pPr>
            <w:r>
              <w:rPr>
                <w:rFonts w:ascii="Verdana" w:hAnsi="Verdana"/>
                <w:sz w:val="22"/>
                <w:szCs w:val="22"/>
              </w:rPr>
              <w:t>24</w:t>
            </w:r>
          </w:p>
        </w:tc>
        <w:tc>
          <w:tcPr>
            <w:tcW w:w="1457" w:type="dxa"/>
            <w:tcBorders>
              <w:top w:val="nil"/>
              <w:bottom w:val="nil"/>
            </w:tcBorders>
            <w:noWrap/>
          </w:tcPr>
          <w:p w14:paraId="684C1756" w14:textId="30B72ED1" w:rsidR="00B94A01" w:rsidRPr="005522F4" w:rsidRDefault="00B94A01" w:rsidP="009B745E">
            <w:pPr>
              <w:tabs>
                <w:tab w:val="left" w:pos="467"/>
              </w:tabs>
              <w:jc w:val="center"/>
              <w:rPr>
                <w:rFonts w:ascii="Verdana" w:hAnsi="Verdana"/>
                <w:sz w:val="22"/>
                <w:szCs w:val="22"/>
              </w:rPr>
            </w:pPr>
            <w:r>
              <w:rPr>
                <w:rFonts w:ascii="Verdana" w:hAnsi="Verdana"/>
                <w:sz w:val="22"/>
                <w:szCs w:val="22"/>
              </w:rPr>
              <w:t>49</w:t>
            </w:r>
          </w:p>
        </w:tc>
        <w:tc>
          <w:tcPr>
            <w:tcW w:w="996" w:type="dxa"/>
            <w:tcBorders>
              <w:top w:val="nil"/>
              <w:bottom w:val="nil"/>
            </w:tcBorders>
            <w:noWrap/>
          </w:tcPr>
          <w:p w14:paraId="4A283A66" w14:textId="570DA8A1" w:rsidR="00B94A01" w:rsidRPr="005522F4" w:rsidRDefault="00B94A01" w:rsidP="009B745E">
            <w:pPr>
              <w:tabs>
                <w:tab w:val="left" w:pos="467"/>
              </w:tabs>
              <w:jc w:val="center"/>
              <w:rPr>
                <w:rFonts w:ascii="Verdana" w:hAnsi="Verdana"/>
                <w:sz w:val="22"/>
                <w:szCs w:val="22"/>
              </w:rPr>
            </w:pPr>
            <w:r>
              <w:rPr>
                <w:rFonts w:ascii="Verdana" w:hAnsi="Verdana"/>
                <w:sz w:val="22"/>
                <w:szCs w:val="22"/>
              </w:rPr>
              <w:t>12</w:t>
            </w:r>
          </w:p>
        </w:tc>
        <w:tc>
          <w:tcPr>
            <w:tcW w:w="1359" w:type="dxa"/>
            <w:tcBorders>
              <w:top w:val="nil"/>
              <w:bottom w:val="nil"/>
              <w:right w:val="nil"/>
            </w:tcBorders>
            <w:noWrap/>
          </w:tcPr>
          <w:p w14:paraId="04553413" w14:textId="3AA1AAFB" w:rsidR="00B94A01" w:rsidRPr="005522F4" w:rsidRDefault="00B94A01" w:rsidP="009B745E">
            <w:pPr>
              <w:tabs>
                <w:tab w:val="left" w:pos="467"/>
              </w:tabs>
              <w:jc w:val="center"/>
              <w:rPr>
                <w:rFonts w:ascii="Verdana" w:hAnsi="Verdana"/>
                <w:sz w:val="22"/>
                <w:szCs w:val="22"/>
              </w:rPr>
            </w:pPr>
            <w:r>
              <w:rPr>
                <w:rFonts w:ascii="Verdana" w:hAnsi="Verdana"/>
                <w:sz w:val="22"/>
                <w:szCs w:val="22"/>
              </w:rPr>
              <w:t>97</w:t>
            </w:r>
          </w:p>
        </w:tc>
      </w:tr>
      <w:tr w:rsidR="005522F4" w:rsidRPr="005522F4" w14:paraId="732D4503" w14:textId="77777777" w:rsidTr="009B745E">
        <w:trPr>
          <w:trHeight w:val="300"/>
        </w:trPr>
        <w:tc>
          <w:tcPr>
            <w:tcW w:w="4109" w:type="dxa"/>
            <w:tcBorders>
              <w:top w:val="nil"/>
              <w:left w:val="nil"/>
              <w:bottom w:val="nil"/>
            </w:tcBorders>
            <w:noWrap/>
            <w:hideMark/>
          </w:tcPr>
          <w:p w14:paraId="5FEC261D" w14:textId="77777777" w:rsidR="005522F4" w:rsidRPr="00D522CB" w:rsidRDefault="005522F4" w:rsidP="005522F4">
            <w:pPr>
              <w:tabs>
                <w:tab w:val="left" w:pos="467"/>
              </w:tabs>
              <w:rPr>
                <w:rFonts w:ascii="Verdana" w:hAnsi="Verdana"/>
                <w:sz w:val="22"/>
                <w:szCs w:val="22"/>
              </w:rPr>
            </w:pPr>
            <w:r w:rsidRPr="00D522CB">
              <w:rPr>
                <w:rFonts w:ascii="Verdana" w:hAnsi="Verdana"/>
                <w:sz w:val="22"/>
                <w:szCs w:val="22"/>
              </w:rPr>
              <w:t>Sanctuary Housing Association</w:t>
            </w:r>
          </w:p>
        </w:tc>
        <w:tc>
          <w:tcPr>
            <w:tcW w:w="1078" w:type="dxa"/>
            <w:tcBorders>
              <w:top w:val="nil"/>
              <w:bottom w:val="nil"/>
            </w:tcBorders>
          </w:tcPr>
          <w:p w14:paraId="017F083F" w14:textId="45310722"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1</w:t>
            </w:r>
            <w:r w:rsidR="00B94A01">
              <w:rPr>
                <w:rFonts w:ascii="Verdana" w:hAnsi="Verdana"/>
                <w:sz w:val="22"/>
                <w:szCs w:val="22"/>
              </w:rPr>
              <w:t>59</w:t>
            </w:r>
          </w:p>
        </w:tc>
        <w:tc>
          <w:tcPr>
            <w:tcW w:w="1907" w:type="dxa"/>
            <w:tcBorders>
              <w:top w:val="nil"/>
              <w:bottom w:val="nil"/>
            </w:tcBorders>
            <w:noWrap/>
            <w:hideMark/>
          </w:tcPr>
          <w:p w14:paraId="016C06F9"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285426C5"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36</w:t>
            </w:r>
          </w:p>
        </w:tc>
        <w:tc>
          <w:tcPr>
            <w:tcW w:w="996" w:type="dxa"/>
            <w:tcBorders>
              <w:top w:val="nil"/>
              <w:bottom w:val="nil"/>
            </w:tcBorders>
            <w:noWrap/>
            <w:hideMark/>
          </w:tcPr>
          <w:p w14:paraId="3F602E44" w14:textId="7D1A075C" w:rsidR="005522F4" w:rsidRPr="005522F4" w:rsidRDefault="00B94A01" w:rsidP="009B745E">
            <w:pPr>
              <w:tabs>
                <w:tab w:val="left" w:pos="467"/>
              </w:tabs>
              <w:jc w:val="center"/>
              <w:rPr>
                <w:rFonts w:ascii="Verdana" w:hAnsi="Verdana"/>
                <w:sz w:val="22"/>
                <w:szCs w:val="22"/>
              </w:rPr>
            </w:pPr>
            <w:r>
              <w:rPr>
                <w:rFonts w:ascii="Verdana" w:hAnsi="Verdana"/>
                <w:sz w:val="22"/>
                <w:szCs w:val="22"/>
              </w:rPr>
              <w:t>123</w:t>
            </w:r>
          </w:p>
        </w:tc>
        <w:tc>
          <w:tcPr>
            <w:tcW w:w="1359" w:type="dxa"/>
            <w:tcBorders>
              <w:top w:val="nil"/>
              <w:bottom w:val="nil"/>
              <w:right w:val="nil"/>
            </w:tcBorders>
            <w:noWrap/>
            <w:hideMark/>
          </w:tcPr>
          <w:p w14:paraId="67DBB7F6" w14:textId="77777777" w:rsidR="005522F4" w:rsidRPr="005522F4" w:rsidRDefault="005522F4" w:rsidP="009B745E">
            <w:pPr>
              <w:tabs>
                <w:tab w:val="left" w:pos="467"/>
              </w:tabs>
              <w:jc w:val="center"/>
              <w:rPr>
                <w:rFonts w:ascii="Verdana" w:hAnsi="Verdana"/>
                <w:sz w:val="22"/>
                <w:szCs w:val="22"/>
              </w:rPr>
            </w:pPr>
          </w:p>
        </w:tc>
      </w:tr>
      <w:tr w:rsidR="005522F4" w:rsidRPr="005522F4" w14:paraId="25AEDF40" w14:textId="77777777" w:rsidTr="009B745E">
        <w:trPr>
          <w:trHeight w:val="300"/>
        </w:trPr>
        <w:tc>
          <w:tcPr>
            <w:tcW w:w="4109" w:type="dxa"/>
            <w:tcBorders>
              <w:top w:val="nil"/>
              <w:left w:val="nil"/>
              <w:bottom w:val="nil"/>
            </w:tcBorders>
            <w:noWrap/>
            <w:hideMark/>
          </w:tcPr>
          <w:p w14:paraId="2ABD6C77" w14:textId="6E57CAEE" w:rsidR="005522F4" w:rsidRPr="0036788A" w:rsidRDefault="00B94A01" w:rsidP="005522F4">
            <w:pPr>
              <w:tabs>
                <w:tab w:val="left" w:pos="467"/>
              </w:tabs>
              <w:rPr>
                <w:rFonts w:ascii="Verdana" w:hAnsi="Verdana"/>
                <w:sz w:val="22"/>
                <w:szCs w:val="22"/>
              </w:rPr>
            </w:pPr>
            <w:r>
              <w:rPr>
                <w:rFonts w:ascii="Verdana" w:hAnsi="Verdana"/>
                <w:sz w:val="22"/>
                <w:szCs w:val="22"/>
              </w:rPr>
              <w:t>Longhurst Group Limited</w:t>
            </w:r>
          </w:p>
        </w:tc>
        <w:tc>
          <w:tcPr>
            <w:tcW w:w="1078" w:type="dxa"/>
            <w:tcBorders>
              <w:top w:val="nil"/>
              <w:bottom w:val="nil"/>
            </w:tcBorders>
          </w:tcPr>
          <w:p w14:paraId="3FF6EC1E" w14:textId="1BCBB4D0" w:rsidR="005522F4" w:rsidRPr="005522F4" w:rsidRDefault="00B94A01" w:rsidP="009B745E">
            <w:pPr>
              <w:tabs>
                <w:tab w:val="left" w:pos="467"/>
              </w:tabs>
              <w:jc w:val="center"/>
              <w:rPr>
                <w:rFonts w:ascii="Verdana" w:hAnsi="Verdana"/>
                <w:sz w:val="22"/>
                <w:szCs w:val="22"/>
              </w:rPr>
            </w:pPr>
            <w:r>
              <w:rPr>
                <w:rFonts w:ascii="Verdana" w:hAnsi="Verdana"/>
                <w:sz w:val="22"/>
                <w:szCs w:val="22"/>
              </w:rPr>
              <w:t>145</w:t>
            </w:r>
          </w:p>
        </w:tc>
        <w:tc>
          <w:tcPr>
            <w:tcW w:w="1907" w:type="dxa"/>
            <w:tcBorders>
              <w:top w:val="nil"/>
              <w:bottom w:val="nil"/>
            </w:tcBorders>
            <w:noWrap/>
            <w:hideMark/>
          </w:tcPr>
          <w:p w14:paraId="7ECD2166"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1E87327A" w14:textId="589FBDB5" w:rsidR="005522F4" w:rsidRPr="005522F4" w:rsidRDefault="00B94A01" w:rsidP="009B745E">
            <w:pPr>
              <w:tabs>
                <w:tab w:val="left" w:pos="467"/>
              </w:tabs>
              <w:jc w:val="center"/>
              <w:rPr>
                <w:rFonts w:ascii="Verdana" w:hAnsi="Verdana"/>
                <w:sz w:val="22"/>
                <w:szCs w:val="22"/>
              </w:rPr>
            </w:pPr>
            <w:r>
              <w:rPr>
                <w:rFonts w:ascii="Verdana" w:hAnsi="Verdana"/>
                <w:sz w:val="22"/>
                <w:szCs w:val="22"/>
              </w:rPr>
              <w:t>137</w:t>
            </w:r>
          </w:p>
        </w:tc>
        <w:tc>
          <w:tcPr>
            <w:tcW w:w="996" w:type="dxa"/>
            <w:tcBorders>
              <w:top w:val="nil"/>
              <w:bottom w:val="nil"/>
            </w:tcBorders>
            <w:noWrap/>
            <w:hideMark/>
          </w:tcPr>
          <w:p w14:paraId="43A845DE"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6</w:t>
            </w:r>
          </w:p>
        </w:tc>
        <w:tc>
          <w:tcPr>
            <w:tcW w:w="1359" w:type="dxa"/>
            <w:tcBorders>
              <w:top w:val="nil"/>
              <w:bottom w:val="nil"/>
              <w:right w:val="nil"/>
            </w:tcBorders>
            <w:noWrap/>
            <w:hideMark/>
          </w:tcPr>
          <w:p w14:paraId="298D1D6E"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2</w:t>
            </w:r>
          </w:p>
        </w:tc>
      </w:tr>
      <w:tr w:rsidR="005522F4" w:rsidRPr="005522F4" w14:paraId="65E7C4C2" w14:textId="77777777" w:rsidTr="009B745E">
        <w:trPr>
          <w:trHeight w:val="300"/>
        </w:trPr>
        <w:tc>
          <w:tcPr>
            <w:tcW w:w="4109" w:type="dxa"/>
            <w:tcBorders>
              <w:top w:val="nil"/>
              <w:left w:val="nil"/>
              <w:bottom w:val="nil"/>
            </w:tcBorders>
            <w:noWrap/>
            <w:hideMark/>
          </w:tcPr>
          <w:p w14:paraId="40B76F5E" w14:textId="77777777" w:rsidR="005522F4" w:rsidRPr="0036788A" w:rsidRDefault="005522F4" w:rsidP="005522F4">
            <w:pPr>
              <w:tabs>
                <w:tab w:val="left" w:pos="467"/>
              </w:tabs>
              <w:rPr>
                <w:rFonts w:ascii="Verdana" w:hAnsi="Verdana"/>
                <w:sz w:val="22"/>
                <w:szCs w:val="22"/>
              </w:rPr>
            </w:pPr>
            <w:r w:rsidRPr="0036788A">
              <w:rPr>
                <w:rFonts w:ascii="Verdana" w:hAnsi="Verdana"/>
                <w:sz w:val="22"/>
                <w:szCs w:val="22"/>
              </w:rPr>
              <w:t>Anchor Hanover Group</w:t>
            </w:r>
          </w:p>
        </w:tc>
        <w:tc>
          <w:tcPr>
            <w:tcW w:w="1078" w:type="dxa"/>
            <w:tcBorders>
              <w:top w:val="nil"/>
              <w:bottom w:val="nil"/>
            </w:tcBorders>
          </w:tcPr>
          <w:p w14:paraId="5838502C"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144</w:t>
            </w:r>
          </w:p>
        </w:tc>
        <w:tc>
          <w:tcPr>
            <w:tcW w:w="1907" w:type="dxa"/>
            <w:tcBorders>
              <w:top w:val="nil"/>
              <w:bottom w:val="nil"/>
            </w:tcBorders>
            <w:noWrap/>
            <w:hideMark/>
          </w:tcPr>
          <w:p w14:paraId="03689ED3"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5FA1BB46"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124</w:t>
            </w:r>
          </w:p>
        </w:tc>
        <w:tc>
          <w:tcPr>
            <w:tcW w:w="996" w:type="dxa"/>
            <w:tcBorders>
              <w:top w:val="nil"/>
              <w:bottom w:val="nil"/>
            </w:tcBorders>
            <w:noWrap/>
            <w:hideMark/>
          </w:tcPr>
          <w:p w14:paraId="5A9A563A"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20</w:t>
            </w:r>
          </w:p>
        </w:tc>
        <w:tc>
          <w:tcPr>
            <w:tcW w:w="1359" w:type="dxa"/>
            <w:tcBorders>
              <w:top w:val="nil"/>
              <w:bottom w:val="nil"/>
              <w:right w:val="nil"/>
            </w:tcBorders>
            <w:noWrap/>
            <w:hideMark/>
          </w:tcPr>
          <w:p w14:paraId="6DEADB30" w14:textId="77777777" w:rsidR="005522F4" w:rsidRPr="005522F4" w:rsidRDefault="005522F4" w:rsidP="009B745E">
            <w:pPr>
              <w:tabs>
                <w:tab w:val="left" w:pos="467"/>
              </w:tabs>
              <w:jc w:val="center"/>
              <w:rPr>
                <w:rFonts w:ascii="Verdana" w:hAnsi="Verdana"/>
                <w:sz w:val="22"/>
                <w:szCs w:val="22"/>
              </w:rPr>
            </w:pPr>
          </w:p>
        </w:tc>
      </w:tr>
      <w:tr w:rsidR="00B94A01" w:rsidRPr="005522F4" w14:paraId="7BC44B5D" w14:textId="77777777" w:rsidTr="009B745E">
        <w:trPr>
          <w:trHeight w:val="300"/>
        </w:trPr>
        <w:tc>
          <w:tcPr>
            <w:tcW w:w="4109" w:type="dxa"/>
            <w:tcBorders>
              <w:top w:val="nil"/>
              <w:left w:val="nil"/>
              <w:bottom w:val="nil"/>
              <w:right w:val="single" w:sz="4" w:space="0" w:color="auto"/>
            </w:tcBorders>
            <w:noWrap/>
          </w:tcPr>
          <w:p w14:paraId="468A324A" w14:textId="430D3412" w:rsidR="00B94A01" w:rsidRPr="00B94A01" w:rsidRDefault="00B94A01" w:rsidP="00B94A01">
            <w:pPr>
              <w:tabs>
                <w:tab w:val="left" w:pos="467"/>
              </w:tabs>
              <w:rPr>
                <w:rFonts w:ascii="Verdana" w:hAnsi="Verdana"/>
                <w:sz w:val="22"/>
                <w:szCs w:val="22"/>
              </w:rPr>
            </w:pPr>
            <w:r w:rsidRPr="00B94A01">
              <w:rPr>
                <w:rFonts w:ascii="Verdana" w:hAnsi="Verdana"/>
                <w:sz w:val="22"/>
                <w:szCs w:val="22"/>
              </w:rPr>
              <w:t>London and Quadrant Housing Trust</w:t>
            </w:r>
          </w:p>
        </w:tc>
        <w:tc>
          <w:tcPr>
            <w:tcW w:w="1078" w:type="dxa"/>
            <w:tcBorders>
              <w:top w:val="nil"/>
              <w:left w:val="single" w:sz="4" w:space="0" w:color="auto"/>
              <w:bottom w:val="nil"/>
              <w:right w:val="single" w:sz="4" w:space="0" w:color="auto"/>
            </w:tcBorders>
          </w:tcPr>
          <w:p w14:paraId="3EB81AA6" w14:textId="6C9372B3"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142</w:t>
            </w:r>
          </w:p>
        </w:tc>
        <w:tc>
          <w:tcPr>
            <w:tcW w:w="1907" w:type="dxa"/>
            <w:tcBorders>
              <w:top w:val="nil"/>
              <w:left w:val="single" w:sz="4" w:space="0" w:color="auto"/>
              <w:bottom w:val="nil"/>
              <w:right w:val="single" w:sz="4" w:space="0" w:color="auto"/>
            </w:tcBorders>
            <w:noWrap/>
          </w:tcPr>
          <w:p w14:paraId="37E31D02" w14:textId="77777777" w:rsidR="00B94A01" w:rsidRPr="00B94A01" w:rsidRDefault="00B94A01" w:rsidP="009B745E">
            <w:pPr>
              <w:tabs>
                <w:tab w:val="left" w:pos="467"/>
              </w:tabs>
              <w:jc w:val="center"/>
              <w:rPr>
                <w:rFonts w:ascii="Verdana" w:hAnsi="Verdana"/>
                <w:sz w:val="22"/>
                <w:szCs w:val="22"/>
              </w:rPr>
            </w:pPr>
          </w:p>
        </w:tc>
        <w:tc>
          <w:tcPr>
            <w:tcW w:w="1457" w:type="dxa"/>
            <w:tcBorders>
              <w:top w:val="nil"/>
              <w:left w:val="single" w:sz="4" w:space="0" w:color="auto"/>
              <w:bottom w:val="nil"/>
              <w:right w:val="single" w:sz="4" w:space="0" w:color="auto"/>
            </w:tcBorders>
            <w:noWrap/>
          </w:tcPr>
          <w:p w14:paraId="1EDCB33D" w14:textId="77777777" w:rsidR="00B94A01" w:rsidRPr="00B94A01" w:rsidRDefault="00B94A01" w:rsidP="009B745E">
            <w:pPr>
              <w:tabs>
                <w:tab w:val="left" w:pos="467"/>
              </w:tabs>
              <w:jc w:val="center"/>
              <w:rPr>
                <w:rFonts w:ascii="Verdana" w:hAnsi="Verdana"/>
                <w:sz w:val="22"/>
                <w:szCs w:val="22"/>
              </w:rPr>
            </w:pPr>
          </w:p>
        </w:tc>
        <w:tc>
          <w:tcPr>
            <w:tcW w:w="996" w:type="dxa"/>
            <w:tcBorders>
              <w:top w:val="nil"/>
              <w:left w:val="single" w:sz="4" w:space="0" w:color="auto"/>
              <w:bottom w:val="nil"/>
              <w:right w:val="single" w:sz="4" w:space="0" w:color="auto"/>
            </w:tcBorders>
            <w:noWrap/>
          </w:tcPr>
          <w:p w14:paraId="13D4F904" w14:textId="6FA426E6"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88</w:t>
            </w:r>
          </w:p>
        </w:tc>
        <w:tc>
          <w:tcPr>
            <w:tcW w:w="1359" w:type="dxa"/>
            <w:tcBorders>
              <w:top w:val="nil"/>
              <w:left w:val="single" w:sz="4" w:space="0" w:color="auto"/>
              <w:bottom w:val="nil"/>
              <w:right w:val="nil"/>
            </w:tcBorders>
            <w:noWrap/>
          </w:tcPr>
          <w:p w14:paraId="6C61B75D" w14:textId="077538B9"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54</w:t>
            </w:r>
          </w:p>
        </w:tc>
      </w:tr>
      <w:tr w:rsidR="00B94A01" w:rsidRPr="005522F4" w14:paraId="3B42832A" w14:textId="77777777" w:rsidTr="009B745E">
        <w:trPr>
          <w:trHeight w:val="300"/>
        </w:trPr>
        <w:tc>
          <w:tcPr>
            <w:tcW w:w="4109" w:type="dxa"/>
            <w:tcBorders>
              <w:top w:val="nil"/>
              <w:left w:val="nil"/>
              <w:bottom w:val="nil"/>
              <w:right w:val="single" w:sz="4" w:space="0" w:color="auto"/>
            </w:tcBorders>
            <w:noWrap/>
          </w:tcPr>
          <w:p w14:paraId="67A5F91A" w14:textId="370DCBBA" w:rsidR="00B94A01" w:rsidRPr="00B94A01" w:rsidRDefault="00B94A01" w:rsidP="00B94A01">
            <w:pPr>
              <w:tabs>
                <w:tab w:val="left" w:pos="467"/>
              </w:tabs>
              <w:rPr>
                <w:rFonts w:ascii="Verdana" w:hAnsi="Verdana"/>
                <w:sz w:val="22"/>
                <w:szCs w:val="22"/>
              </w:rPr>
            </w:pPr>
            <w:r w:rsidRPr="00B94A01">
              <w:rPr>
                <w:rFonts w:ascii="Verdana" w:hAnsi="Verdana"/>
                <w:sz w:val="22"/>
                <w:szCs w:val="22"/>
              </w:rPr>
              <w:t>Heylo Housing Registered Provider Limited</w:t>
            </w:r>
          </w:p>
        </w:tc>
        <w:tc>
          <w:tcPr>
            <w:tcW w:w="1078" w:type="dxa"/>
            <w:tcBorders>
              <w:top w:val="nil"/>
              <w:left w:val="single" w:sz="4" w:space="0" w:color="auto"/>
              <w:bottom w:val="nil"/>
              <w:right w:val="single" w:sz="4" w:space="0" w:color="auto"/>
            </w:tcBorders>
          </w:tcPr>
          <w:p w14:paraId="65525241" w14:textId="274D7317"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124</w:t>
            </w:r>
          </w:p>
        </w:tc>
        <w:tc>
          <w:tcPr>
            <w:tcW w:w="1907" w:type="dxa"/>
            <w:tcBorders>
              <w:top w:val="nil"/>
              <w:left w:val="single" w:sz="4" w:space="0" w:color="auto"/>
              <w:bottom w:val="nil"/>
              <w:right w:val="single" w:sz="4" w:space="0" w:color="auto"/>
            </w:tcBorders>
            <w:noWrap/>
          </w:tcPr>
          <w:p w14:paraId="222A7277" w14:textId="77777777" w:rsidR="00B94A01" w:rsidRPr="00B94A01" w:rsidRDefault="00B94A01" w:rsidP="009B745E">
            <w:pPr>
              <w:tabs>
                <w:tab w:val="left" w:pos="467"/>
              </w:tabs>
              <w:jc w:val="center"/>
              <w:rPr>
                <w:rFonts w:ascii="Verdana" w:hAnsi="Verdana"/>
                <w:sz w:val="22"/>
                <w:szCs w:val="22"/>
              </w:rPr>
            </w:pPr>
          </w:p>
        </w:tc>
        <w:tc>
          <w:tcPr>
            <w:tcW w:w="1457" w:type="dxa"/>
            <w:tcBorders>
              <w:top w:val="nil"/>
              <w:left w:val="single" w:sz="4" w:space="0" w:color="auto"/>
              <w:bottom w:val="nil"/>
              <w:right w:val="single" w:sz="4" w:space="0" w:color="auto"/>
            </w:tcBorders>
            <w:noWrap/>
          </w:tcPr>
          <w:p w14:paraId="5175F374" w14:textId="541E7113"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27</w:t>
            </w:r>
          </w:p>
        </w:tc>
        <w:tc>
          <w:tcPr>
            <w:tcW w:w="996" w:type="dxa"/>
            <w:tcBorders>
              <w:top w:val="nil"/>
              <w:left w:val="single" w:sz="4" w:space="0" w:color="auto"/>
              <w:bottom w:val="nil"/>
              <w:right w:val="single" w:sz="4" w:space="0" w:color="auto"/>
            </w:tcBorders>
            <w:noWrap/>
          </w:tcPr>
          <w:p w14:paraId="35099A22" w14:textId="315D3E14"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22</w:t>
            </w:r>
          </w:p>
        </w:tc>
        <w:tc>
          <w:tcPr>
            <w:tcW w:w="1359" w:type="dxa"/>
            <w:tcBorders>
              <w:top w:val="nil"/>
              <w:left w:val="single" w:sz="4" w:space="0" w:color="auto"/>
              <w:bottom w:val="nil"/>
              <w:right w:val="nil"/>
            </w:tcBorders>
            <w:noWrap/>
          </w:tcPr>
          <w:p w14:paraId="4C6AE0E5" w14:textId="61235F41"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75</w:t>
            </w:r>
          </w:p>
        </w:tc>
      </w:tr>
      <w:tr w:rsidR="00B94A01" w:rsidRPr="005522F4" w14:paraId="66ED3DF0" w14:textId="77777777" w:rsidTr="009B745E">
        <w:trPr>
          <w:trHeight w:val="300"/>
        </w:trPr>
        <w:tc>
          <w:tcPr>
            <w:tcW w:w="4109" w:type="dxa"/>
            <w:tcBorders>
              <w:top w:val="nil"/>
              <w:left w:val="nil"/>
              <w:bottom w:val="nil"/>
              <w:right w:val="single" w:sz="4" w:space="0" w:color="auto"/>
            </w:tcBorders>
            <w:noWrap/>
          </w:tcPr>
          <w:p w14:paraId="07743E4A" w14:textId="250A2039" w:rsidR="00B94A01" w:rsidRPr="00B94A01" w:rsidRDefault="00B94A01" w:rsidP="00B94A01">
            <w:pPr>
              <w:tabs>
                <w:tab w:val="left" w:pos="467"/>
              </w:tabs>
              <w:rPr>
                <w:rFonts w:ascii="Verdana" w:hAnsi="Verdana"/>
                <w:sz w:val="22"/>
                <w:szCs w:val="22"/>
              </w:rPr>
            </w:pPr>
            <w:r w:rsidRPr="00B94A01">
              <w:rPr>
                <w:rFonts w:ascii="Verdana" w:hAnsi="Verdana"/>
                <w:sz w:val="22"/>
                <w:szCs w:val="22"/>
              </w:rPr>
              <w:t>Walsall Housing Group</w:t>
            </w:r>
          </w:p>
        </w:tc>
        <w:tc>
          <w:tcPr>
            <w:tcW w:w="1078" w:type="dxa"/>
            <w:tcBorders>
              <w:top w:val="nil"/>
              <w:left w:val="single" w:sz="4" w:space="0" w:color="auto"/>
              <w:bottom w:val="nil"/>
              <w:right w:val="single" w:sz="4" w:space="0" w:color="auto"/>
            </w:tcBorders>
          </w:tcPr>
          <w:p w14:paraId="1186615F" w14:textId="1082FBDC"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116</w:t>
            </w:r>
          </w:p>
        </w:tc>
        <w:tc>
          <w:tcPr>
            <w:tcW w:w="1907" w:type="dxa"/>
            <w:tcBorders>
              <w:top w:val="nil"/>
              <w:left w:val="single" w:sz="4" w:space="0" w:color="auto"/>
              <w:bottom w:val="nil"/>
              <w:right w:val="single" w:sz="4" w:space="0" w:color="auto"/>
            </w:tcBorders>
            <w:noWrap/>
          </w:tcPr>
          <w:p w14:paraId="6B522DBC" w14:textId="77777777" w:rsidR="00B94A01" w:rsidRPr="00B94A01" w:rsidRDefault="00B94A01" w:rsidP="009B745E">
            <w:pPr>
              <w:tabs>
                <w:tab w:val="left" w:pos="467"/>
              </w:tabs>
              <w:jc w:val="center"/>
              <w:rPr>
                <w:rFonts w:ascii="Verdana" w:hAnsi="Verdana"/>
                <w:sz w:val="22"/>
                <w:szCs w:val="22"/>
              </w:rPr>
            </w:pPr>
          </w:p>
        </w:tc>
        <w:tc>
          <w:tcPr>
            <w:tcW w:w="1457" w:type="dxa"/>
            <w:tcBorders>
              <w:top w:val="nil"/>
              <w:left w:val="single" w:sz="4" w:space="0" w:color="auto"/>
              <w:bottom w:val="nil"/>
              <w:right w:val="single" w:sz="4" w:space="0" w:color="auto"/>
            </w:tcBorders>
            <w:noWrap/>
          </w:tcPr>
          <w:p w14:paraId="4AB1764A" w14:textId="77777777" w:rsidR="00B94A01" w:rsidRPr="00B94A01" w:rsidRDefault="00B94A01" w:rsidP="009B745E">
            <w:pPr>
              <w:tabs>
                <w:tab w:val="left" w:pos="467"/>
              </w:tabs>
              <w:jc w:val="center"/>
              <w:rPr>
                <w:rFonts w:ascii="Verdana" w:hAnsi="Verdana"/>
                <w:sz w:val="22"/>
                <w:szCs w:val="22"/>
              </w:rPr>
            </w:pPr>
          </w:p>
        </w:tc>
        <w:tc>
          <w:tcPr>
            <w:tcW w:w="996" w:type="dxa"/>
            <w:tcBorders>
              <w:top w:val="nil"/>
              <w:left w:val="single" w:sz="4" w:space="0" w:color="auto"/>
              <w:bottom w:val="nil"/>
              <w:right w:val="single" w:sz="4" w:space="0" w:color="auto"/>
            </w:tcBorders>
            <w:noWrap/>
          </w:tcPr>
          <w:p w14:paraId="1513CB6E" w14:textId="0C04CF89"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20</w:t>
            </w:r>
          </w:p>
        </w:tc>
        <w:tc>
          <w:tcPr>
            <w:tcW w:w="1359" w:type="dxa"/>
            <w:tcBorders>
              <w:top w:val="nil"/>
              <w:left w:val="single" w:sz="4" w:space="0" w:color="auto"/>
              <w:bottom w:val="nil"/>
              <w:right w:val="nil"/>
            </w:tcBorders>
            <w:noWrap/>
          </w:tcPr>
          <w:p w14:paraId="336FE692" w14:textId="2F9A7F7B"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96</w:t>
            </w:r>
          </w:p>
        </w:tc>
      </w:tr>
      <w:tr w:rsidR="00B94A01" w:rsidRPr="00B94A01" w14:paraId="1DBD41DB" w14:textId="77777777" w:rsidTr="009B745E">
        <w:trPr>
          <w:trHeight w:val="300"/>
        </w:trPr>
        <w:tc>
          <w:tcPr>
            <w:tcW w:w="4109" w:type="dxa"/>
            <w:tcBorders>
              <w:top w:val="nil"/>
              <w:left w:val="nil"/>
              <w:bottom w:val="nil"/>
            </w:tcBorders>
            <w:noWrap/>
            <w:hideMark/>
          </w:tcPr>
          <w:p w14:paraId="366E044B" w14:textId="7691BC3B" w:rsidR="00B94A01" w:rsidRPr="00B94A01" w:rsidRDefault="00B94A01" w:rsidP="00B94A01">
            <w:pPr>
              <w:tabs>
                <w:tab w:val="left" w:pos="467"/>
              </w:tabs>
              <w:rPr>
                <w:rFonts w:ascii="Verdana" w:hAnsi="Verdana"/>
                <w:sz w:val="22"/>
                <w:szCs w:val="22"/>
              </w:rPr>
            </w:pPr>
            <w:r w:rsidRPr="00B94A01">
              <w:rPr>
                <w:rFonts w:ascii="Verdana" w:hAnsi="Verdana"/>
                <w:sz w:val="22"/>
                <w:szCs w:val="22"/>
              </w:rPr>
              <w:t>Inclusion Housing Community Interest Company</w:t>
            </w:r>
          </w:p>
        </w:tc>
        <w:tc>
          <w:tcPr>
            <w:tcW w:w="1078" w:type="dxa"/>
            <w:tcBorders>
              <w:top w:val="nil"/>
              <w:bottom w:val="nil"/>
            </w:tcBorders>
          </w:tcPr>
          <w:p w14:paraId="35A77E80" w14:textId="22DE057C"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90</w:t>
            </w:r>
          </w:p>
        </w:tc>
        <w:tc>
          <w:tcPr>
            <w:tcW w:w="1907" w:type="dxa"/>
            <w:tcBorders>
              <w:top w:val="nil"/>
              <w:bottom w:val="nil"/>
            </w:tcBorders>
            <w:noWrap/>
            <w:hideMark/>
          </w:tcPr>
          <w:p w14:paraId="75ACB263" w14:textId="1F8A1758"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16</w:t>
            </w:r>
          </w:p>
        </w:tc>
        <w:tc>
          <w:tcPr>
            <w:tcW w:w="1457" w:type="dxa"/>
            <w:tcBorders>
              <w:top w:val="nil"/>
              <w:bottom w:val="nil"/>
            </w:tcBorders>
            <w:noWrap/>
            <w:hideMark/>
          </w:tcPr>
          <w:p w14:paraId="7D448183" w14:textId="2EE4B94D"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53</w:t>
            </w:r>
          </w:p>
        </w:tc>
        <w:tc>
          <w:tcPr>
            <w:tcW w:w="996" w:type="dxa"/>
            <w:tcBorders>
              <w:top w:val="nil"/>
              <w:bottom w:val="nil"/>
            </w:tcBorders>
            <w:noWrap/>
            <w:hideMark/>
          </w:tcPr>
          <w:p w14:paraId="4829810A" w14:textId="2E672181" w:rsidR="00B94A01" w:rsidRPr="00B94A01" w:rsidRDefault="00B94A01" w:rsidP="009B745E">
            <w:pPr>
              <w:tabs>
                <w:tab w:val="left" w:pos="467"/>
              </w:tabs>
              <w:jc w:val="center"/>
              <w:rPr>
                <w:rFonts w:ascii="Verdana" w:hAnsi="Verdana"/>
                <w:sz w:val="22"/>
                <w:szCs w:val="22"/>
              </w:rPr>
            </w:pPr>
          </w:p>
        </w:tc>
        <w:tc>
          <w:tcPr>
            <w:tcW w:w="1359" w:type="dxa"/>
            <w:tcBorders>
              <w:top w:val="nil"/>
              <w:bottom w:val="nil"/>
              <w:right w:val="nil"/>
            </w:tcBorders>
            <w:noWrap/>
            <w:hideMark/>
          </w:tcPr>
          <w:p w14:paraId="7B483F9C" w14:textId="6CC91828"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21</w:t>
            </w:r>
          </w:p>
        </w:tc>
      </w:tr>
      <w:tr w:rsidR="00B94A01" w:rsidRPr="00B94A01" w14:paraId="1176DB84" w14:textId="77777777" w:rsidTr="009B745E">
        <w:trPr>
          <w:trHeight w:val="300"/>
        </w:trPr>
        <w:tc>
          <w:tcPr>
            <w:tcW w:w="4109" w:type="dxa"/>
            <w:tcBorders>
              <w:top w:val="nil"/>
              <w:left w:val="nil"/>
              <w:bottom w:val="nil"/>
            </w:tcBorders>
            <w:noWrap/>
          </w:tcPr>
          <w:p w14:paraId="5E7BD1F1" w14:textId="46FEF05A" w:rsidR="00B94A01" w:rsidRPr="00B94A01" w:rsidRDefault="00B94A01" w:rsidP="00B94A01">
            <w:pPr>
              <w:tabs>
                <w:tab w:val="left" w:pos="467"/>
              </w:tabs>
              <w:rPr>
                <w:rFonts w:ascii="Verdana" w:hAnsi="Verdana"/>
                <w:sz w:val="22"/>
                <w:szCs w:val="22"/>
              </w:rPr>
            </w:pPr>
            <w:r w:rsidRPr="00B94A01">
              <w:rPr>
                <w:rFonts w:ascii="Verdana" w:hAnsi="Verdana"/>
                <w:sz w:val="22"/>
                <w:szCs w:val="22"/>
              </w:rPr>
              <w:t>Warwickshire Rural Housing Association Limited</w:t>
            </w:r>
          </w:p>
        </w:tc>
        <w:tc>
          <w:tcPr>
            <w:tcW w:w="1078" w:type="dxa"/>
            <w:tcBorders>
              <w:top w:val="nil"/>
              <w:bottom w:val="nil"/>
            </w:tcBorders>
          </w:tcPr>
          <w:p w14:paraId="4F31E13E" w14:textId="3D578EB4"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87</w:t>
            </w:r>
          </w:p>
        </w:tc>
        <w:tc>
          <w:tcPr>
            <w:tcW w:w="1907" w:type="dxa"/>
            <w:tcBorders>
              <w:top w:val="nil"/>
              <w:bottom w:val="nil"/>
            </w:tcBorders>
            <w:noWrap/>
          </w:tcPr>
          <w:p w14:paraId="479AE76E" w14:textId="630A5958"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2</w:t>
            </w:r>
          </w:p>
        </w:tc>
        <w:tc>
          <w:tcPr>
            <w:tcW w:w="1457" w:type="dxa"/>
            <w:tcBorders>
              <w:top w:val="nil"/>
              <w:bottom w:val="nil"/>
            </w:tcBorders>
            <w:noWrap/>
          </w:tcPr>
          <w:p w14:paraId="1CAD53FC" w14:textId="77777777" w:rsidR="00B94A01" w:rsidRPr="00B94A01" w:rsidRDefault="00B94A01" w:rsidP="009B745E">
            <w:pPr>
              <w:tabs>
                <w:tab w:val="left" w:pos="467"/>
              </w:tabs>
              <w:jc w:val="center"/>
              <w:rPr>
                <w:rFonts w:ascii="Verdana" w:hAnsi="Verdana"/>
                <w:sz w:val="22"/>
                <w:szCs w:val="22"/>
              </w:rPr>
            </w:pPr>
          </w:p>
        </w:tc>
        <w:tc>
          <w:tcPr>
            <w:tcW w:w="996" w:type="dxa"/>
            <w:tcBorders>
              <w:top w:val="nil"/>
              <w:bottom w:val="nil"/>
            </w:tcBorders>
            <w:noWrap/>
          </w:tcPr>
          <w:p w14:paraId="407BA90A" w14:textId="1F126986"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21</w:t>
            </w:r>
          </w:p>
        </w:tc>
        <w:tc>
          <w:tcPr>
            <w:tcW w:w="1359" w:type="dxa"/>
            <w:tcBorders>
              <w:top w:val="nil"/>
              <w:bottom w:val="nil"/>
              <w:right w:val="nil"/>
            </w:tcBorders>
            <w:noWrap/>
          </w:tcPr>
          <w:p w14:paraId="6310AAD7" w14:textId="20670A61" w:rsidR="00B94A01" w:rsidRPr="00B94A01" w:rsidRDefault="00B94A01" w:rsidP="009B745E">
            <w:pPr>
              <w:tabs>
                <w:tab w:val="left" w:pos="467"/>
              </w:tabs>
              <w:jc w:val="center"/>
              <w:rPr>
                <w:rFonts w:ascii="Verdana" w:hAnsi="Verdana"/>
                <w:sz w:val="22"/>
                <w:szCs w:val="22"/>
              </w:rPr>
            </w:pPr>
            <w:r w:rsidRPr="00B94A01">
              <w:rPr>
                <w:rFonts w:ascii="Verdana" w:hAnsi="Verdana"/>
                <w:sz w:val="22"/>
                <w:szCs w:val="22"/>
              </w:rPr>
              <w:t>64</w:t>
            </w:r>
          </w:p>
        </w:tc>
      </w:tr>
      <w:tr w:rsidR="00765418" w:rsidRPr="00765418" w14:paraId="105D90E2" w14:textId="77777777" w:rsidTr="009B745E">
        <w:trPr>
          <w:trHeight w:val="300"/>
        </w:trPr>
        <w:tc>
          <w:tcPr>
            <w:tcW w:w="4109" w:type="dxa"/>
            <w:tcBorders>
              <w:top w:val="nil"/>
              <w:left w:val="nil"/>
              <w:bottom w:val="nil"/>
            </w:tcBorders>
            <w:noWrap/>
            <w:hideMark/>
          </w:tcPr>
          <w:p w14:paraId="00941D8B" w14:textId="6A5C277E" w:rsidR="00765418" w:rsidRPr="00765418" w:rsidRDefault="00765418" w:rsidP="00765418">
            <w:pPr>
              <w:tabs>
                <w:tab w:val="left" w:pos="467"/>
              </w:tabs>
              <w:rPr>
                <w:rFonts w:ascii="Verdana" w:hAnsi="Verdana"/>
                <w:sz w:val="22"/>
                <w:szCs w:val="22"/>
              </w:rPr>
            </w:pPr>
            <w:r w:rsidRPr="00765418">
              <w:rPr>
                <w:rFonts w:ascii="Verdana" w:hAnsi="Verdana"/>
                <w:sz w:val="22"/>
                <w:szCs w:val="22"/>
              </w:rPr>
              <w:t>GreenSquareAccord Limited</w:t>
            </w:r>
          </w:p>
        </w:tc>
        <w:tc>
          <w:tcPr>
            <w:tcW w:w="1078" w:type="dxa"/>
            <w:tcBorders>
              <w:top w:val="nil"/>
              <w:bottom w:val="nil"/>
            </w:tcBorders>
          </w:tcPr>
          <w:p w14:paraId="4D3E0CB3" w14:textId="51E30C11"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77</w:t>
            </w:r>
          </w:p>
        </w:tc>
        <w:tc>
          <w:tcPr>
            <w:tcW w:w="1907" w:type="dxa"/>
            <w:tcBorders>
              <w:top w:val="nil"/>
              <w:bottom w:val="nil"/>
            </w:tcBorders>
            <w:noWrap/>
            <w:hideMark/>
          </w:tcPr>
          <w:p w14:paraId="607A1980" w14:textId="0E52BCA0" w:rsidR="00765418" w:rsidRPr="00765418" w:rsidRDefault="00765418" w:rsidP="009B745E">
            <w:pPr>
              <w:tabs>
                <w:tab w:val="left" w:pos="467"/>
              </w:tabs>
              <w:jc w:val="center"/>
              <w:rPr>
                <w:rFonts w:ascii="Verdana" w:hAnsi="Verdana"/>
                <w:sz w:val="22"/>
                <w:szCs w:val="22"/>
              </w:rPr>
            </w:pPr>
          </w:p>
        </w:tc>
        <w:tc>
          <w:tcPr>
            <w:tcW w:w="1457" w:type="dxa"/>
            <w:tcBorders>
              <w:top w:val="nil"/>
              <w:bottom w:val="nil"/>
            </w:tcBorders>
            <w:noWrap/>
            <w:hideMark/>
          </w:tcPr>
          <w:p w14:paraId="47312D13" w14:textId="17A578D2"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35</w:t>
            </w:r>
          </w:p>
        </w:tc>
        <w:tc>
          <w:tcPr>
            <w:tcW w:w="996" w:type="dxa"/>
            <w:tcBorders>
              <w:top w:val="nil"/>
              <w:bottom w:val="nil"/>
            </w:tcBorders>
            <w:noWrap/>
            <w:hideMark/>
          </w:tcPr>
          <w:p w14:paraId="449B091E" w14:textId="71339714" w:rsidR="00765418" w:rsidRPr="00765418" w:rsidRDefault="00765418" w:rsidP="009B745E">
            <w:pPr>
              <w:tabs>
                <w:tab w:val="left" w:pos="467"/>
              </w:tabs>
              <w:jc w:val="center"/>
              <w:rPr>
                <w:rFonts w:ascii="Verdana" w:hAnsi="Verdana"/>
                <w:sz w:val="22"/>
                <w:szCs w:val="22"/>
              </w:rPr>
            </w:pPr>
          </w:p>
        </w:tc>
        <w:tc>
          <w:tcPr>
            <w:tcW w:w="1359" w:type="dxa"/>
            <w:tcBorders>
              <w:top w:val="nil"/>
              <w:bottom w:val="nil"/>
              <w:right w:val="nil"/>
            </w:tcBorders>
            <w:noWrap/>
            <w:hideMark/>
          </w:tcPr>
          <w:p w14:paraId="0AB9AE3A" w14:textId="6337BD65"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42</w:t>
            </w:r>
          </w:p>
        </w:tc>
      </w:tr>
      <w:tr w:rsidR="00765418" w:rsidRPr="00765418" w14:paraId="69215E80" w14:textId="77777777" w:rsidTr="009B745E">
        <w:trPr>
          <w:trHeight w:val="300"/>
        </w:trPr>
        <w:tc>
          <w:tcPr>
            <w:tcW w:w="4109" w:type="dxa"/>
            <w:tcBorders>
              <w:top w:val="nil"/>
              <w:left w:val="nil"/>
              <w:bottom w:val="nil"/>
            </w:tcBorders>
            <w:noWrap/>
          </w:tcPr>
          <w:p w14:paraId="4DE5EC97" w14:textId="60F4BF71" w:rsidR="00765418" w:rsidRPr="00765418" w:rsidRDefault="00765418" w:rsidP="00765418">
            <w:pPr>
              <w:tabs>
                <w:tab w:val="left" w:pos="467"/>
              </w:tabs>
              <w:rPr>
                <w:rFonts w:ascii="Verdana" w:hAnsi="Verdana"/>
                <w:sz w:val="22"/>
                <w:szCs w:val="22"/>
              </w:rPr>
            </w:pPr>
            <w:r w:rsidRPr="00765418">
              <w:rPr>
                <w:rFonts w:ascii="Verdana" w:hAnsi="Verdana"/>
                <w:sz w:val="22"/>
                <w:szCs w:val="22"/>
              </w:rPr>
              <w:t>Places for People Living+ Limited</w:t>
            </w:r>
          </w:p>
        </w:tc>
        <w:tc>
          <w:tcPr>
            <w:tcW w:w="1078" w:type="dxa"/>
            <w:tcBorders>
              <w:top w:val="nil"/>
              <w:bottom w:val="nil"/>
            </w:tcBorders>
          </w:tcPr>
          <w:p w14:paraId="08B23221" w14:textId="28612D3E"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63</w:t>
            </w:r>
          </w:p>
        </w:tc>
        <w:tc>
          <w:tcPr>
            <w:tcW w:w="1907" w:type="dxa"/>
            <w:tcBorders>
              <w:top w:val="nil"/>
              <w:bottom w:val="nil"/>
            </w:tcBorders>
            <w:noWrap/>
          </w:tcPr>
          <w:p w14:paraId="3739C43A" w14:textId="3311592C"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22</w:t>
            </w:r>
          </w:p>
        </w:tc>
        <w:tc>
          <w:tcPr>
            <w:tcW w:w="1457" w:type="dxa"/>
            <w:tcBorders>
              <w:top w:val="nil"/>
              <w:bottom w:val="nil"/>
            </w:tcBorders>
            <w:noWrap/>
          </w:tcPr>
          <w:p w14:paraId="3E29AD4D" w14:textId="4218CC75"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17</w:t>
            </w:r>
          </w:p>
        </w:tc>
        <w:tc>
          <w:tcPr>
            <w:tcW w:w="996" w:type="dxa"/>
            <w:tcBorders>
              <w:top w:val="nil"/>
              <w:bottom w:val="nil"/>
            </w:tcBorders>
            <w:noWrap/>
          </w:tcPr>
          <w:p w14:paraId="5FEA40B5" w14:textId="22A6DAB5"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24</w:t>
            </w:r>
          </w:p>
        </w:tc>
        <w:tc>
          <w:tcPr>
            <w:tcW w:w="1359" w:type="dxa"/>
            <w:tcBorders>
              <w:top w:val="nil"/>
              <w:bottom w:val="nil"/>
              <w:right w:val="nil"/>
            </w:tcBorders>
            <w:noWrap/>
          </w:tcPr>
          <w:p w14:paraId="38C14283" w14:textId="77777777" w:rsidR="00765418" w:rsidRPr="00765418" w:rsidRDefault="00765418" w:rsidP="009B745E">
            <w:pPr>
              <w:tabs>
                <w:tab w:val="left" w:pos="467"/>
              </w:tabs>
              <w:jc w:val="center"/>
              <w:rPr>
                <w:rFonts w:ascii="Verdana" w:hAnsi="Verdana"/>
                <w:sz w:val="22"/>
                <w:szCs w:val="22"/>
              </w:rPr>
            </w:pPr>
          </w:p>
        </w:tc>
      </w:tr>
      <w:tr w:rsidR="005522F4" w:rsidRPr="005522F4" w14:paraId="076E8F21" w14:textId="77777777" w:rsidTr="009B745E">
        <w:trPr>
          <w:trHeight w:val="300"/>
        </w:trPr>
        <w:tc>
          <w:tcPr>
            <w:tcW w:w="4109" w:type="dxa"/>
            <w:tcBorders>
              <w:top w:val="nil"/>
              <w:left w:val="nil"/>
              <w:bottom w:val="nil"/>
            </w:tcBorders>
            <w:noWrap/>
            <w:hideMark/>
          </w:tcPr>
          <w:p w14:paraId="1B2B4A8E" w14:textId="77777777" w:rsidR="005522F4" w:rsidRPr="005522F4" w:rsidRDefault="005522F4" w:rsidP="005522F4">
            <w:pPr>
              <w:tabs>
                <w:tab w:val="left" w:pos="467"/>
              </w:tabs>
              <w:rPr>
                <w:rFonts w:ascii="Verdana" w:hAnsi="Verdana"/>
                <w:sz w:val="22"/>
                <w:szCs w:val="22"/>
              </w:rPr>
            </w:pPr>
            <w:r w:rsidRPr="005522F4">
              <w:rPr>
                <w:rFonts w:ascii="Verdana" w:hAnsi="Verdana"/>
                <w:sz w:val="22"/>
                <w:szCs w:val="22"/>
              </w:rPr>
              <w:t>The Riverside Group</w:t>
            </w:r>
          </w:p>
        </w:tc>
        <w:tc>
          <w:tcPr>
            <w:tcW w:w="1078" w:type="dxa"/>
            <w:tcBorders>
              <w:top w:val="nil"/>
              <w:bottom w:val="nil"/>
            </w:tcBorders>
          </w:tcPr>
          <w:p w14:paraId="66D7E1DB"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60</w:t>
            </w:r>
          </w:p>
        </w:tc>
        <w:tc>
          <w:tcPr>
            <w:tcW w:w="1907" w:type="dxa"/>
            <w:tcBorders>
              <w:top w:val="nil"/>
              <w:bottom w:val="nil"/>
            </w:tcBorders>
            <w:noWrap/>
            <w:hideMark/>
          </w:tcPr>
          <w:p w14:paraId="03007836"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44106770" w14:textId="77777777" w:rsidR="005522F4" w:rsidRPr="005522F4" w:rsidRDefault="005522F4" w:rsidP="009B745E">
            <w:pPr>
              <w:tabs>
                <w:tab w:val="left" w:pos="467"/>
              </w:tabs>
              <w:jc w:val="center"/>
              <w:rPr>
                <w:rFonts w:ascii="Verdana" w:hAnsi="Verdana"/>
                <w:sz w:val="22"/>
                <w:szCs w:val="22"/>
              </w:rPr>
            </w:pPr>
          </w:p>
        </w:tc>
        <w:tc>
          <w:tcPr>
            <w:tcW w:w="996" w:type="dxa"/>
            <w:tcBorders>
              <w:top w:val="nil"/>
              <w:bottom w:val="nil"/>
            </w:tcBorders>
            <w:noWrap/>
            <w:hideMark/>
          </w:tcPr>
          <w:p w14:paraId="445D19E4"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6</w:t>
            </w:r>
          </w:p>
        </w:tc>
        <w:tc>
          <w:tcPr>
            <w:tcW w:w="1359" w:type="dxa"/>
            <w:tcBorders>
              <w:top w:val="nil"/>
              <w:bottom w:val="nil"/>
              <w:right w:val="nil"/>
            </w:tcBorders>
            <w:noWrap/>
            <w:hideMark/>
          </w:tcPr>
          <w:p w14:paraId="42B72761"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54</w:t>
            </w:r>
          </w:p>
        </w:tc>
      </w:tr>
      <w:tr w:rsidR="00765418" w:rsidRPr="00765418" w14:paraId="469F0DA9" w14:textId="77777777" w:rsidTr="009B745E">
        <w:trPr>
          <w:trHeight w:val="300"/>
        </w:trPr>
        <w:tc>
          <w:tcPr>
            <w:tcW w:w="4109" w:type="dxa"/>
            <w:tcBorders>
              <w:top w:val="nil"/>
              <w:left w:val="nil"/>
              <w:bottom w:val="nil"/>
              <w:right w:val="single" w:sz="4" w:space="0" w:color="auto"/>
            </w:tcBorders>
            <w:noWrap/>
          </w:tcPr>
          <w:p w14:paraId="087B902D" w14:textId="4350B165" w:rsidR="00765418" w:rsidRPr="00765418" w:rsidRDefault="00765418" w:rsidP="00765418">
            <w:pPr>
              <w:tabs>
                <w:tab w:val="left" w:pos="467"/>
              </w:tabs>
              <w:rPr>
                <w:rFonts w:ascii="Verdana" w:hAnsi="Verdana"/>
                <w:sz w:val="22"/>
                <w:szCs w:val="22"/>
              </w:rPr>
            </w:pPr>
            <w:r w:rsidRPr="00765418">
              <w:rPr>
                <w:rFonts w:ascii="Verdana" w:hAnsi="Verdana"/>
                <w:sz w:val="22"/>
                <w:szCs w:val="22"/>
              </w:rPr>
              <w:t>Sage Rented Limited</w:t>
            </w:r>
          </w:p>
        </w:tc>
        <w:tc>
          <w:tcPr>
            <w:tcW w:w="1078" w:type="dxa"/>
            <w:tcBorders>
              <w:top w:val="nil"/>
              <w:left w:val="single" w:sz="4" w:space="0" w:color="auto"/>
              <w:bottom w:val="nil"/>
              <w:right w:val="single" w:sz="4" w:space="0" w:color="auto"/>
            </w:tcBorders>
          </w:tcPr>
          <w:p w14:paraId="0756C32D" w14:textId="09B24BEF"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48</w:t>
            </w:r>
          </w:p>
        </w:tc>
        <w:tc>
          <w:tcPr>
            <w:tcW w:w="1907" w:type="dxa"/>
            <w:tcBorders>
              <w:top w:val="nil"/>
              <w:left w:val="single" w:sz="4" w:space="0" w:color="auto"/>
              <w:bottom w:val="nil"/>
              <w:right w:val="single" w:sz="4" w:space="0" w:color="auto"/>
            </w:tcBorders>
            <w:noWrap/>
          </w:tcPr>
          <w:p w14:paraId="268A4B00" w14:textId="1817B3F1"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14</w:t>
            </w:r>
          </w:p>
        </w:tc>
        <w:tc>
          <w:tcPr>
            <w:tcW w:w="1457" w:type="dxa"/>
            <w:tcBorders>
              <w:top w:val="nil"/>
              <w:left w:val="single" w:sz="4" w:space="0" w:color="auto"/>
              <w:bottom w:val="nil"/>
              <w:right w:val="single" w:sz="4" w:space="0" w:color="auto"/>
            </w:tcBorders>
            <w:noWrap/>
          </w:tcPr>
          <w:p w14:paraId="226BF493" w14:textId="4C6878DF"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19</w:t>
            </w:r>
          </w:p>
        </w:tc>
        <w:tc>
          <w:tcPr>
            <w:tcW w:w="996" w:type="dxa"/>
            <w:tcBorders>
              <w:top w:val="nil"/>
              <w:left w:val="single" w:sz="4" w:space="0" w:color="auto"/>
              <w:bottom w:val="nil"/>
              <w:right w:val="single" w:sz="4" w:space="0" w:color="auto"/>
            </w:tcBorders>
            <w:noWrap/>
          </w:tcPr>
          <w:p w14:paraId="22928060" w14:textId="34BCF1BF"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15</w:t>
            </w:r>
          </w:p>
        </w:tc>
        <w:tc>
          <w:tcPr>
            <w:tcW w:w="1359" w:type="dxa"/>
            <w:tcBorders>
              <w:top w:val="nil"/>
              <w:left w:val="single" w:sz="4" w:space="0" w:color="auto"/>
              <w:bottom w:val="nil"/>
              <w:right w:val="nil"/>
            </w:tcBorders>
            <w:noWrap/>
          </w:tcPr>
          <w:p w14:paraId="69539599" w14:textId="77777777" w:rsidR="00765418" w:rsidRPr="00765418" w:rsidRDefault="00765418" w:rsidP="009B745E">
            <w:pPr>
              <w:tabs>
                <w:tab w:val="left" w:pos="467"/>
              </w:tabs>
              <w:jc w:val="center"/>
              <w:rPr>
                <w:rFonts w:ascii="Verdana" w:hAnsi="Verdana"/>
                <w:sz w:val="22"/>
                <w:szCs w:val="22"/>
              </w:rPr>
            </w:pPr>
          </w:p>
        </w:tc>
      </w:tr>
      <w:tr w:rsidR="00765418" w:rsidRPr="005522F4" w14:paraId="7C4D8A39" w14:textId="77777777" w:rsidTr="009B745E">
        <w:trPr>
          <w:trHeight w:val="300"/>
        </w:trPr>
        <w:tc>
          <w:tcPr>
            <w:tcW w:w="4109" w:type="dxa"/>
            <w:tcBorders>
              <w:top w:val="nil"/>
              <w:left w:val="nil"/>
              <w:bottom w:val="nil"/>
            </w:tcBorders>
            <w:noWrap/>
          </w:tcPr>
          <w:p w14:paraId="36EC77BD" w14:textId="77777777" w:rsidR="00765418" w:rsidRPr="005522F4" w:rsidRDefault="00765418" w:rsidP="005522F4">
            <w:pPr>
              <w:tabs>
                <w:tab w:val="left" w:pos="467"/>
              </w:tabs>
              <w:rPr>
                <w:rFonts w:ascii="Verdana" w:hAnsi="Verdana"/>
                <w:sz w:val="22"/>
                <w:szCs w:val="22"/>
              </w:rPr>
            </w:pPr>
          </w:p>
        </w:tc>
        <w:tc>
          <w:tcPr>
            <w:tcW w:w="1078" w:type="dxa"/>
            <w:tcBorders>
              <w:top w:val="nil"/>
              <w:bottom w:val="nil"/>
            </w:tcBorders>
          </w:tcPr>
          <w:p w14:paraId="28BA507F" w14:textId="77777777" w:rsidR="00765418" w:rsidRPr="005522F4" w:rsidRDefault="00765418" w:rsidP="009B745E">
            <w:pPr>
              <w:tabs>
                <w:tab w:val="left" w:pos="467"/>
              </w:tabs>
              <w:jc w:val="center"/>
              <w:rPr>
                <w:rFonts w:ascii="Verdana" w:hAnsi="Verdana"/>
                <w:sz w:val="22"/>
                <w:szCs w:val="22"/>
              </w:rPr>
            </w:pPr>
          </w:p>
        </w:tc>
        <w:tc>
          <w:tcPr>
            <w:tcW w:w="1907" w:type="dxa"/>
            <w:tcBorders>
              <w:top w:val="nil"/>
              <w:bottom w:val="nil"/>
            </w:tcBorders>
            <w:noWrap/>
          </w:tcPr>
          <w:p w14:paraId="0EAEF2E1" w14:textId="77777777" w:rsidR="00765418" w:rsidRPr="005522F4" w:rsidRDefault="00765418" w:rsidP="009B745E">
            <w:pPr>
              <w:tabs>
                <w:tab w:val="left" w:pos="467"/>
              </w:tabs>
              <w:jc w:val="center"/>
              <w:rPr>
                <w:rFonts w:ascii="Verdana" w:hAnsi="Verdana"/>
                <w:sz w:val="22"/>
                <w:szCs w:val="22"/>
              </w:rPr>
            </w:pPr>
          </w:p>
        </w:tc>
        <w:tc>
          <w:tcPr>
            <w:tcW w:w="1457" w:type="dxa"/>
            <w:tcBorders>
              <w:top w:val="nil"/>
              <w:bottom w:val="nil"/>
            </w:tcBorders>
            <w:noWrap/>
          </w:tcPr>
          <w:p w14:paraId="68A853F0" w14:textId="77777777" w:rsidR="00765418" w:rsidRPr="005522F4" w:rsidRDefault="00765418" w:rsidP="009B745E">
            <w:pPr>
              <w:tabs>
                <w:tab w:val="left" w:pos="467"/>
              </w:tabs>
              <w:jc w:val="center"/>
              <w:rPr>
                <w:rFonts w:ascii="Verdana" w:hAnsi="Verdana"/>
                <w:sz w:val="22"/>
                <w:szCs w:val="22"/>
              </w:rPr>
            </w:pPr>
          </w:p>
        </w:tc>
        <w:tc>
          <w:tcPr>
            <w:tcW w:w="996" w:type="dxa"/>
            <w:tcBorders>
              <w:top w:val="nil"/>
              <w:bottom w:val="nil"/>
            </w:tcBorders>
            <w:noWrap/>
          </w:tcPr>
          <w:p w14:paraId="1CA912DA" w14:textId="77777777" w:rsidR="00765418" w:rsidRPr="005522F4" w:rsidRDefault="00765418" w:rsidP="009B745E">
            <w:pPr>
              <w:tabs>
                <w:tab w:val="left" w:pos="467"/>
              </w:tabs>
              <w:jc w:val="center"/>
              <w:rPr>
                <w:rFonts w:ascii="Verdana" w:hAnsi="Verdana"/>
                <w:sz w:val="22"/>
                <w:szCs w:val="22"/>
              </w:rPr>
            </w:pPr>
          </w:p>
        </w:tc>
        <w:tc>
          <w:tcPr>
            <w:tcW w:w="1359" w:type="dxa"/>
            <w:tcBorders>
              <w:top w:val="nil"/>
              <w:bottom w:val="nil"/>
              <w:right w:val="nil"/>
            </w:tcBorders>
            <w:noWrap/>
          </w:tcPr>
          <w:p w14:paraId="1D4507EB" w14:textId="77777777" w:rsidR="00765418" w:rsidRPr="005522F4" w:rsidRDefault="00765418" w:rsidP="009B745E">
            <w:pPr>
              <w:tabs>
                <w:tab w:val="left" w:pos="467"/>
              </w:tabs>
              <w:jc w:val="center"/>
              <w:rPr>
                <w:rFonts w:ascii="Verdana" w:hAnsi="Verdana"/>
                <w:sz w:val="22"/>
                <w:szCs w:val="22"/>
              </w:rPr>
            </w:pPr>
          </w:p>
        </w:tc>
      </w:tr>
      <w:tr w:rsidR="005522F4" w:rsidRPr="005522F4" w14:paraId="60DC139C" w14:textId="77777777" w:rsidTr="009B745E">
        <w:trPr>
          <w:trHeight w:val="300"/>
        </w:trPr>
        <w:tc>
          <w:tcPr>
            <w:tcW w:w="4109" w:type="dxa"/>
            <w:tcBorders>
              <w:top w:val="nil"/>
              <w:left w:val="nil"/>
              <w:bottom w:val="nil"/>
            </w:tcBorders>
            <w:noWrap/>
            <w:hideMark/>
          </w:tcPr>
          <w:p w14:paraId="6A83916F" w14:textId="77777777" w:rsidR="005522F4" w:rsidRPr="005522F4" w:rsidRDefault="005522F4" w:rsidP="005522F4">
            <w:pPr>
              <w:tabs>
                <w:tab w:val="left" w:pos="467"/>
              </w:tabs>
              <w:rPr>
                <w:rFonts w:ascii="Verdana" w:hAnsi="Verdana"/>
                <w:sz w:val="22"/>
                <w:szCs w:val="22"/>
              </w:rPr>
            </w:pPr>
            <w:r w:rsidRPr="005522F4">
              <w:rPr>
                <w:rFonts w:ascii="Verdana" w:hAnsi="Verdana"/>
                <w:sz w:val="22"/>
                <w:szCs w:val="22"/>
              </w:rPr>
              <w:t>Masonic Housing Association</w:t>
            </w:r>
          </w:p>
        </w:tc>
        <w:tc>
          <w:tcPr>
            <w:tcW w:w="1078" w:type="dxa"/>
            <w:tcBorders>
              <w:top w:val="nil"/>
              <w:bottom w:val="nil"/>
            </w:tcBorders>
          </w:tcPr>
          <w:p w14:paraId="546F4303" w14:textId="4BB49274"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4</w:t>
            </w:r>
            <w:r w:rsidR="00765418">
              <w:rPr>
                <w:rFonts w:ascii="Verdana" w:hAnsi="Verdana"/>
                <w:sz w:val="22"/>
                <w:szCs w:val="22"/>
              </w:rPr>
              <w:t>5</w:t>
            </w:r>
          </w:p>
        </w:tc>
        <w:tc>
          <w:tcPr>
            <w:tcW w:w="1907" w:type="dxa"/>
            <w:tcBorders>
              <w:top w:val="nil"/>
              <w:bottom w:val="nil"/>
            </w:tcBorders>
            <w:noWrap/>
            <w:hideMark/>
          </w:tcPr>
          <w:p w14:paraId="4B6AB550"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57BA9521" w14:textId="77777777" w:rsidR="005522F4" w:rsidRPr="005522F4" w:rsidRDefault="005522F4" w:rsidP="009B745E">
            <w:pPr>
              <w:tabs>
                <w:tab w:val="left" w:pos="467"/>
              </w:tabs>
              <w:jc w:val="center"/>
              <w:rPr>
                <w:rFonts w:ascii="Verdana" w:hAnsi="Verdana"/>
                <w:sz w:val="22"/>
                <w:szCs w:val="22"/>
              </w:rPr>
            </w:pPr>
          </w:p>
        </w:tc>
        <w:tc>
          <w:tcPr>
            <w:tcW w:w="996" w:type="dxa"/>
            <w:tcBorders>
              <w:top w:val="nil"/>
              <w:bottom w:val="nil"/>
            </w:tcBorders>
            <w:noWrap/>
            <w:hideMark/>
          </w:tcPr>
          <w:p w14:paraId="2BF7EF60" w14:textId="77777777" w:rsidR="005522F4" w:rsidRPr="005522F4" w:rsidRDefault="005522F4" w:rsidP="009B745E">
            <w:pPr>
              <w:tabs>
                <w:tab w:val="left" w:pos="467"/>
              </w:tabs>
              <w:jc w:val="center"/>
              <w:rPr>
                <w:rFonts w:ascii="Verdana" w:hAnsi="Verdana"/>
                <w:sz w:val="22"/>
                <w:szCs w:val="22"/>
              </w:rPr>
            </w:pPr>
          </w:p>
        </w:tc>
        <w:tc>
          <w:tcPr>
            <w:tcW w:w="1359" w:type="dxa"/>
            <w:tcBorders>
              <w:top w:val="nil"/>
              <w:bottom w:val="nil"/>
              <w:right w:val="nil"/>
            </w:tcBorders>
            <w:noWrap/>
            <w:hideMark/>
          </w:tcPr>
          <w:p w14:paraId="61A70E4A" w14:textId="21975350"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4</w:t>
            </w:r>
            <w:r w:rsidR="00765418">
              <w:rPr>
                <w:rFonts w:ascii="Verdana" w:hAnsi="Verdana"/>
                <w:sz w:val="22"/>
                <w:szCs w:val="22"/>
              </w:rPr>
              <w:t>5</w:t>
            </w:r>
          </w:p>
        </w:tc>
      </w:tr>
      <w:tr w:rsidR="00765418" w:rsidRPr="00765418" w14:paraId="480ED2B7" w14:textId="77777777" w:rsidTr="009B745E">
        <w:trPr>
          <w:trHeight w:val="300"/>
        </w:trPr>
        <w:tc>
          <w:tcPr>
            <w:tcW w:w="4109" w:type="dxa"/>
            <w:tcBorders>
              <w:top w:val="nil"/>
              <w:left w:val="nil"/>
              <w:bottom w:val="nil"/>
            </w:tcBorders>
            <w:noWrap/>
          </w:tcPr>
          <w:p w14:paraId="629730ED" w14:textId="6B52DB50" w:rsidR="00765418" w:rsidRPr="00765418" w:rsidRDefault="00765418" w:rsidP="00765418">
            <w:pPr>
              <w:tabs>
                <w:tab w:val="left" w:pos="467"/>
              </w:tabs>
              <w:rPr>
                <w:rFonts w:ascii="Verdana" w:hAnsi="Verdana"/>
                <w:sz w:val="22"/>
                <w:szCs w:val="22"/>
              </w:rPr>
            </w:pPr>
            <w:r w:rsidRPr="00765418">
              <w:rPr>
                <w:rFonts w:ascii="Verdana" w:hAnsi="Verdana"/>
                <w:sz w:val="22"/>
                <w:szCs w:val="22"/>
              </w:rPr>
              <w:t>Bespoke Supportive Tenancies</w:t>
            </w:r>
          </w:p>
        </w:tc>
        <w:tc>
          <w:tcPr>
            <w:tcW w:w="1078" w:type="dxa"/>
            <w:tcBorders>
              <w:top w:val="nil"/>
              <w:bottom w:val="nil"/>
            </w:tcBorders>
          </w:tcPr>
          <w:p w14:paraId="5D3CE324" w14:textId="2595152C"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4</w:t>
            </w:r>
            <w:r>
              <w:rPr>
                <w:rFonts w:ascii="Verdana" w:hAnsi="Verdana"/>
                <w:sz w:val="22"/>
                <w:szCs w:val="22"/>
              </w:rPr>
              <w:t>4</w:t>
            </w:r>
          </w:p>
        </w:tc>
        <w:tc>
          <w:tcPr>
            <w:tcW w:w="1907" w:type="dxa"/>
            <w:tcBorders>
              <w:top w:val="nil"/>
              <w:bottom w:val="nil"/>
            </w:tcBorders>
            <w:noWrap/>
          </w:tcPr>
          <w:p w14:paraId="03E2BD44" w14:textId="77777777" w:rsidR="00765418" w:rsidRPr="00765418" w:rsidRDefault="00765418" w:rsidP="009B745E">
            <w:pPr>
              <w:tabs>
                <w:tab w:val="left" w:pos="467"/>
              </w:tabs>
              <w:jc w:val="center"/>
              <w:rPr>
                <w:rFonts w:ascii="Verdana" w:hAnsi="Verdana"/>
                <w:sz w:val="22"/>
                <w:szCs w:val="22"/>
              </w:rPr>
            </w:pPr>
          </w:p>
        </w:tc>
        <w:tc>
          <w:tcPr>
            <w:tcW w:w="1457" w:type="dxa"/>
            <w:tcBorders>
              <w:top w:val="nil"/>
              <w:bottom w:val="nil"/>
            </w:tcBorders>
            <w:noWrap/>
          </w:tcPr>
          <w:p w14:paraId="2C837D5F" w14:textId="10016C4E" w:rsidR="00765418" w:rsidRPr="00765418" w:rsidRDefault="00765418" w:rsidP="009B745E">
            <w:pPr>
              <w:tabs>
                <w:tab w:val="left" w:pos="467"/>
              </w:tabs>
              <w:jc w:val="center"/>
              <w:rPr>
                <w:rFonts w:ascii="Verdana" w:hAnsi="Verdana"/>
                <w:sz w:val="22"/>
                <w:szCs w:val="22"/>
              </w:rPr>
            </w:pPr>
            <w:r w:rsidRPr="00765418">
              <w:rPr>
                <w:rFonts w:ascii="Verdana" w:hAnsi="Verdana"/>
                <w:sz w:val="22"/>
                <w:szCs w:val="22"/>
              </w:rPr>
              <w:t>4</w:t>
            </w:r>
            <w:r>
              <w:rPr>
                <w:rFonts w:ascii="Verdana" w:hAnsi="Verdana"/>
                <w:sz w:val="22"/>
                <w:szCs w:val="22"/>
              </w:rPr>
              <w:t>4</w:t>
            </w:r>
          </w:p>
        </w:tc>
        <w:tc>
          <w:tcPr>
            <w:tcW w:w="996" w:type="dxa"/>
            <w:tcBorders>
              <w:top w:val="nil"/>
              <w:bottom w:val="nil"/>
            </w:tcBorders>
            <w:noWrap/>
          </w:tcPr>
          <w:p w14:paraId="4B6D6AAC" w14:textId="77777777" w:rsidR="00765418" w:rsidRPr="00765418" w:rsidRDefault="00765418" w:rsidP="009B745E">
            <w:pPr>
              <w:tabs>
                <w:tab w:val="left" w:pos="467"/>
              </w:tabs>
              <w:jc w:val="center"/>
              <w:rPr>
                <w:rFonts w:ascii="Verdana" w:hAnsi="Verdana"/>
                <w:sz w:val="22"/>
                <w:szCs w:val="22"/>
              </w:rPr>
            </w:pPr>
          </w:p>
        </w:tc>
        <w:tc>
          <w:tcPr>
            <w:tcW w:w="1359" w:type="dxa"/>
            <w:tcBorders>
              <w:top w:val="nil"/>
              <w:bottom w:val="nil"/>
              <w:right w:val="nil"/>
            </w:tcBorders>
            <w:noWrap/>
          </w:tcPr>
          <w:p w14:paraId="3FA21510" w14:textId="77777777" w:rsidR="00765418" w:rsidRPr="00765418" w:rsidRDefault="00765418" w:rsidP="009B745E">
            <w:pPr>
              <w:tabs>
                <w:tab w:val="left" w:pos="467"/>
              </w:tabs>
              <w:jc w:val="center"/>
              <w:rPr>
                <w:rFonts w:ascii="Verdana" w:hAnsi="Verdana"/>
                <w:sz w:val="22"/>
                <w:szCs w:val="22"/>
              </w:rPr>
            </w:pPr>
          </w:p>
        </w:tc>
      </w:tr>
      <w:tr w:rsidR="005522F4" w:rsidRPr="005522F4" w14:paraId="24B8D7BA" w14:textId="77777777" w:rsidTr="009B745E">
        <w:trPr>
          <w:trHeight w:val="300"/>
        </w:trPr>
        <w:tc>
          <w:tcPr>
            <w:tcW w:w="4109" w:type="dxa"/>
            <w:tcBorders>
              <w:top w:val="nil"/>
              <w:left w:val="nil"/>
              <w:bottom w:val="nil"/>
            </w:tcBorders>
            <w:noWrap/>
            <w:hideMark/>
          </w:tcPr>
          <w:p w14:paraId="75E922A2" w14:textId="77777777" w:rsidR="005522F4" w:rsidRPr="005522F4" w:rsidRDefault="005522F4" w:rsidP="005522F4">
            <w:pPr>
              <w:tabs>
                <w:tab w:val="left" w:pos="467"/>
              </w:tabs>
              <w:rPr>
                <w:rFonts w:ascii="Verdana" w:hAnsi="Verdana"/>
                <w:sz w:val="22"/>
                <w:szCs w:val="22"/>
              </w:rPr>
            </w:pPr>
            <w:r w:rsidRPr="005522F4">
              <w:rPr>
                <w:rFonts w:ascii="Verdana" w:hAnsi="Verdana"/>
                <w:sz w:val="22"/>
                <w:szCs w:val="22"/>
              </w:rPr>
              <w:t>Methodist Homes Housing Association</w:t>
            </w:r>
          </w:p>
        </w:tc>
        <w:tc>
          <w:tcPr>
            <w:tcW w:w="1078" w:type="dxa"/>
            <w:tcBorders>
              <w:top w:val="nil"/>
              <w:bottom w:val="nil"/>
            </w:tcBorders>
          </w:tcPr>
          <w:p w14:paraId="0BE28E53"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34</w:t>
            </w:r>
          </w:p>
        </w:tc>
        <w:tc>
          <w:tcPr>
            <w:tcW w:w="1907" w:type="dxa"/>
            <w:tcBorders>
              <w:top w:val="nil"/>
              <w:bottom w:val="nil"/>
            </w:tcBorders>
            <w:noWrap/>
            <w:hideMark/>
          </w:tcPr>
          <w:p w14:paraId="0D7AC82B"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3A5DCE12"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34</w:t>
            </w:r>
          </w:p>
        </w:tc>
        <w:tc>
          <w:tcPr>
            <w:tcW w:w="996" w:type="dxa"/>
            <w:tcBorders>
              <w:top w:val="nil"/>
              <w:bottom w:val="nil"/>
            </w:tcBorders>
            <w:noWrap/>
            <w:hideMark/>
          </w:tcPr>
          <w:p w14:paraId="3BB76813" w14:textId="77777777" w:rsidR="005522F4" w:rsidRPr="005522F4" w:rsidRDefault="005522F4" w:rsidP="009B745E">
            <w:pPr>
              <w:tabs>
                <w:tab w:val="left" w:pos="467"/>
              </w:tabs>
              <w:jc w:val="center"/>
              <w:rPr>
                <w:rFonts w:ascii="Verdana" w:hAnsi="Verdana"/>
                <w:sz w:val="22"/>
                <w:szCs w:val="22"/>
              </w:rPr>
            </w:pPr>
          </w:p>
        </w:tc>
        <w:tc>
          <w:tcPr>
            <w:tcW w:w="1359" w:type="dxa"/>
            <w:tcBorders>
              <w:top w:val="nil"/>
              <w:bottom w:val="nil"/>
              <w:right w:val="nil"/>
            </w:tcBorders>
            <w:noWrap/>
            <w:hideMark/>
          </w:tcPr>
          <w:p w14:paraId="06206B16" w14:textId="77777777" w:rsidR="005522F4" w:rsidRPr="005522F4" w:rsidRDefault="005522F4" w:rsidP="009B745E">
            <w:pPr>
              <w:tabs>
                <w:tab w:val="left" w:pos="467"/>
              </w:tabs>
              <w:jc w:val="center"/>
              <w:rPr>
                <w:rFonts w:ascii="Verdana" w:hAnsi="Verdana"/>
                <w:sz w:val="22"/>
                <w:szCs w:val="22"/>
              </w:rPr>
            </w:pPr>
          </w:p>
        </w:tc>
      </w:tr>
      <w:tr w:rsidR="00765418" w:rsidRPr="00765418" w14:paraId="3DF16A0B" w14:textId="77777777" w:rsidTr="009B745E">
        <w:trPr>
          <w:trHeight w:val="300"/>
        </w:trPr>
        <w:tc>
          <w:tcPr>
            <w:tcW w:w="4109" w:type="dxa"/>
            <w:tcBorders>
              <w:top w:val="nil"/>
              <w:left w:val="nil"/>
              <w:bottom w:val="nil"/>
            </w:tcBorders>
            <w:noWrap/>
          </w:tcPr>
          <w:p w14:paraId="10B91AEE" w14:textId="4D5452E7" w:rsidR="00765418" w:rsidRPr="00765418" w:rsidRDefault="00765418" w:rsidP="00765418">
            <w:pPr>
              <w:tabs>
                <w:tab w:val="left" w:pos="467"/>
              </w:tabs>
              <w:rPr>
                <w:rFonts w:ascii="Verdana" w:hAnsi="Verdana"/>
                <w:sz w:val="22"/>
                <w:szCs w:val="22"/>
              </w:rPr>
            </w:pPr>
            <w:r w:rsidRPr="00765418">
              <w:rPr>
                <w:rFonts w:ascii="Verdana" w:hAnsi="Verdana"/>
                <w:sz w:val="22"/>
                <w:szCs w:val="22"/>
              </w:rPr>
              <w:t>Salvation Army Housing Association</w:t>
            </w:r>
          </w:p>
        </w:tc>
        <w:tc>
          <w:tcPr>
            <w:tcW w:w="1078" w:type="dxa"/>
            <w:tcBorders>
              <w:top w:val="nil"/>
              <w:bottom w:val="nil"/>
            </w:tcBorders>
          </w:tcPr>
          <w:p w14:paraId="284ADE79" w14:textId="40CAB5AD" w:rsidR="00765418" w:rsidRPr="00765418" w:rsidRDefault="00765418" w:rsidP="009B745E">
            <w:pPr>
              <w:tabs>
                <w:tab w:val="left" w:pos="467"/>
              </w:tabs>
              <w:jc w:val="center"/>
              <w:rPr>
                <w:rFonts w:ascii="Verdana" w:hAnsi="Verdana"/>
                <w:sz w:val="22"/>
                <w:szCs w:val="22"/>
              </w:rPr>
            </w:pPr>
            <w:r>
              <w:rPr>
                <w:rFonts w:ascii="Verdana" w:hAnsi="Verdana"/>
                <w:sz w:val="22"/>
                <w:szCs w:val="22"/>
              </w:rPr>
              <w:t>34</w:t>
            </w:r>
          </w:p>
        </w:tc>
        <w:tc>
          <w:tcPr>
            <w:tcW w:w="1907" w:type="dxa"/>
            <w:tcBorders>
              <w:top w:val="nil"/>
              <w:bottom w:val="nil"/>
            </w:tcBorders>
            <w:noWrap/>
          </w:tcPr>
          <w:p w14:paraId="5B45A2C5" w14:textId="77777777" w:rsidR="00765418" w:rsidRPr="00765418" w:rsidRDefault="00765418" w:rsidP="009B745E">
            <w:pPr>
              <w:tabs>
                <w:tab w:val="left" w:pos="467"/>
              </w:tabs>
              <w:jc w:val="center"/>
              <w:rPr>
                <w:rFonts w:ascii="Verdana" w:hAnsi="Verdana"/>
                <w:sz w:val="22"/>
                <w:szCs w:val="22"/>
              </w:rPr>
            </w:pPr>
          </w:p>
        </w:tc>
        <w:tc>
          <w:tcPr>
            <w:tcW w:w="1457" w:type="dxa"/>
            <w:tcBorders>
              <w:top w:val="nil"/>
              <w:bottom w:val="nil"/>
            </w:tcBorders>
            <w:noWrap/>
          </w:tcPr>
          <w:p w14:paraId="19823F1A" w14:textId="4A8726D3" w:rsidR="00765418" w:rsidRPr="00765418" w:rsidRDefault="00765418" w:rsidP="009B745E">
            <w:pPr>
              <w:tabs>
                <w:tab w:val="left" w:pos="467"/>
              </w:tabs>
              <w:jc w:val="center"/>
              <w:rPr>
                <w:rFonts w:ascii="Verdana" w:hAnsi="Verdana"/>
                <w:sz w:val="22"/>
                <w:szCs w:val="22"/>
              </w:rPr>
            </w:pPr>
          </w:p>
        </w:tc>
        <w:tc>
          <w:tcPr>
            <w:tcW w:w="996" w:type="dxa"/>
            <w:tcBorders>
              <w:top w:val="nil"/>
              <w:bottom w:val="nil"/>
            </w:tcBorders>
            <w:noWrap/>
          </w:tcPr>
          <w:p w14:paraId="34BB92A0" w14:textId="3BFCA205" w:rsidR="00765418" w:rsidRPr="00765418" w:rsidRDefault="00765418" w:rsidP="009B745E">
            <w:pPr>
              <w:tabs>
                <w:tab w:val="left" w:pos="467"/>
              </w:tabs>
              <w:jc w:val="center"/>
              <w:rPr>
                <w:rFonts w:ascii="Verdana" w:hAnsi="Verdana"/>
                <w:sz w:val="22"/>
                <w:szCs w:val="22"/>
              </w:rPr>
            </w:pPr>
          </w:p>
        </w:tc>
        <w:tc>
          <w:tcPr>
            <w:tcW w:w="1359" w:type="dxa"/>
            <w:tcBorders>
              <w:top w:val="nil"/>
              <w:bottom w:val="nil"/>
              <w:right w:val="nil"/>
            </w:tcBorders>
            <w:noWrap/>
          </w:tcPr>
          <w:p w14:paraId="1AF4D739" w14:textId="1ECC4212" w:rsidR="00765418" w:rsidRPr="00765418" w:rsidRDefault="00765418" w:rsidP="009B745E">
            <w:pPr>
              <w:tabs>
                <w:tab w:val="left" w:pos="467"/>
              </w:tabs>
              <w:jc w:val="center"/>
              <w:rPr>
                <w:rFonts w:ascii="Verdana" w:hAnsi="Verdana"/>
                <w:sz w:val="22"/>
                <w:szCs w:val="22"/>
              </w:rPr>
            </w:pPr>
            <w:r>
              <w:rPr>
                <w:rFonts w:ascii="Verdana" w:hAnsi="Verdana"/>
                <w:sz w:val="22"/>
                <w:szCs w:val="22"/>
              </w:rPr>
              <w:t>34</w:t>
            </w:r>
          </w:p>
        </w:tc>
      </w:tr>
      <w:tr w:rsidR="00765418" w:rsidRPr="00765418" w14:paraId="051F8A19" w14:textId="77777777" w:rsidTr="009B745E">
        <w:trPr>
          <w:trHeight w:val="300"/>
        </w:trPr>
        <w:tc>
          <w:tcPr>
            <w:tcW w:w="4109" w:type="dxa"/>
            <w:tcBorders>
              <w:top w:val="nil"/>
              <w:left w:val="nil"/>
              <w:bottom w:val="nil"/>
            </w:tcBorders>
            <w:noWrap/>
          </w:tcPr>
          <w:p w14:paraId="048AC8F9" w14:textId="6616180C" w:rsidR="00765418" w:rsidRPr="00765418" w:rsidRDefault="00765418" w:rsidP="00765418">
            <w:pPr>
              <w:tabs>
                <w:tab w:val="left" w:pos="467"/>
              </w:tabs>
              <w:rPr>
                <w:rFonts w:ascii="Verdana" w:hAnsi="Verdana"/>
                <w:sz w:val="22"/>
                <w:szCs w:val="22"/>
              </w:rPr>
            </w:pPr>
            <w:r w:rsidRPr="00765418">
              <w:rPr>
                <w:rFonts w:ascii="Verdana" w:hAnsi="Verdana"/>
                <w:sz w:val="22"/>
                <w:szCs w:val="22"/>
              </w:rPr>
              <w:t>Golden Lane Housing</w:t>
            </w:r>
          </w:p>
        </w:tc>
        <w:tc>
          <w:tcPr>
            <w:tcW w:w="1078" w:type="dxa"/>
            <w:tcBorders>
              <w:top w:val="nil"/>
              <w:bottom w:val="nil"/>
            </w:tcBorders>
          </w:tcPr>
          <w:p w14:paraId="5B4CA44B" w14:textId="310992F0" w:rsidR="00765418" w:rsidRPr="00765418" w:rsidRDefault="00765418" w:rsidP="009B745E">
            <w:pPr>
              <w:tabs>
                <w:tab w:val="left" w:pos="467"/>
              </w:tabs>
              <w:jc w:val="center"/>
              <w:rPr>
                <w:rFonts w:ascii="Verdana" w:hAnsi="Verdana"/>
                <w:sz w:val="22"/>
                <w:szCs w:val="22"/>
              </w:rPr>
            </w:pPr>
            <w:r>
              <w:rPr>
                <w:rFonts w:ascii="Verdana" w:hAnsi="Verdana"/>
                <w:sz w:val="22"/>
                <w:szCs w:val="22"/>
              </w:rPr>
              <w:t>33</w:t>
            </w:r>
          </w:p>
        </w:tc>
        <w:tc>
          <w:tcPr>
            <w:tcW w:w="1907" w:type="dxa"/>
            <w:tcBorders>
              <w:top w:val="nil"/>
              <w:bottom w:val="nil"/>
            </w:tcBorders>
            <w:noWrap/>
          </w:tcPr>
          <w:p w14:paraId="2647A5AF" w14:textId="77777777" w:rsidR="00765418" w:rsidRPr="00765418" w:rsidRDefault="00765418" w:rsidP="009B745E">
            <w:pPr>
              <w:tabs>
                <w:tab w:val="left" w:pos="467"/>
              </w:tabs>
              <w:jc w:val="center"/>
              <w:rPr>
                <w:rFonts w:ascii="Verdana" w:hAnsi="Verdana"/>
                <w:sz w:val="22"/>
                <w:szCs w:val="22"/>
              </w:rPr>
            </w:pPr>
          </w:p>
        </w:tc>
        <w:tc>
          <w:tcPr>
            <w:tcW w:w="1457" w:type="dxa"/>
            <w:tcBorders>
              <w:top w:val="nil"/>
              <w:bottom w:val="nil"/>
            </w:tcBorders>
            <w:noWrap/>
          </w:tcPr>
          <w:p w14:paraId="25ABE9F7" w14:textId="59A7D236" w:rsidR="00765418" w:rsidRPr="00765418" w:rsidRDefault="00765418" w:rsidP="009B745E">
            <w:pPr>
              <w:tabs>
                <w:tab w:val="left" w:pos="467"/>
              </w:tabs>
              <w:jc w:val="center"/>
              <w:rPr>
                <w:rFonts w:ascii="Verdana" w:hAnsi="Verdana"/>
                <w:sz w:val="22"/>
                <w:szCs w:val="22"/>
              </w:rPr>
            </w:pPr>
            <w:r>
              <w:rPr>
                <w:rFonts w:ascii="Verdana" w:hAnsi="Verdana"/>
                <w:sz w:val="22"/>
                <w:szCs w:val="22"/>
              </w:rPr>
              <w:t>22</w:t>
            </w:r>
          </w:p>
        </w:tc>
        <w:tc>
          <w:tcPr>
            <w:tcW w:w="996" w:type="dxa"/>
            <w:tcBorders>
              <w:top w:val="nil"/>
              <w:bottom w:val="nil"/>
            </w:tcBorders>
            <w:noWrap/>
          </w:tcPr>
          <w:p w14:paraId="4F3B75D5" w14:textId="1638596E" w:rsidR="00765418" w:rsidRPr="00765418" w:rsidRDefault="00765418" w:rsidP="009B745E">
            <w:pPr>
              <w:tabs>
                <w:tab w:val="left" w:pos="467"/>
              </w:tabs>
              <w:jc w:val="center"/>
              <w:rPr>
                <w:rFonts w:ascii="Verdana" w:hAnsi="Verdana"/>
                <w:sz w:val="22"/>
                <w:szCs w:val="22"/>
              </w:rPr>
            </w:pPr>
            <w:r>
              <w:rPr>
                <w:rFonts w:ascii="Verdana" w:hAnsi="Verdana"/>
                <w:sz w:val="22"/>
                <w:szCs w:val="22"/>
              </w:rPr>
              <w:t>2</w:t>
            </w:r>
          </w:p>
        </w:tc>
        <w:tc>
          <w:tcPr>
            <w:tcW w:w="1359" w:type="dxa"/>
            <w:tcBorders>
              <w:top w:val="nil"/>
              <w:bottom w:val="nil"/>
              <w:right w:val="nil"/>
            </w:tcBorders>
            <w:noWrap/>
          </w:tcPr>
          <w:p w14:paraId="372442B2" w14:textId="3F311101" w:rsidR="00765418" w:rsidRPr="00765418" w:rsidRDefault="00765418" w:rsidP="009B745E">
            <w:pPr>
              <w:tabs>
                <w:tab w:val="left" w:pos="467"/>
              </w:tabs>
              <w:jc w:val="center"/>
              <w:rPr>
                <w:rFonts w:ascii="Verdana" w:hAnsi="Verdana"/>
                <w:sz w:val="22"/>
                <w:szCs w:val="22"/>
              </w:rPr>
            </w:pPr>
            <w:r>
              <w:rPr>
                <w:rFonts w:ascii="Verdana" w:hAnsi="Verdana"/>
                <w:sz w:val="22"/>
                <w:szCs w:val="22"/>
              </w:rPr>
              <w:t>3</w:t>
            </w:r>
          </w:p>
        </w:tc>
      </w:tr>
      <w:tr w:rsidR="00765418" w:rsidRPr="005522F4" w14:paraId="3C62709A" w14:textId="77777777" w:rsidTr="009B745E">
        <w:trPr>
          <w:trHeight w:val="300"/>
        </w:trPr>
        <w:tc>
          <w:tcPr>
            <w:tcW w:w="4109" w:type="dxa"/>
            <w:tcBorders>
              <w:top w:val="nil"/>
              <w:left w:val="nil"/>
              <w:bottom w:val="nil"/>
            </w:tcBorders>
            <w:noWrap/>
          </w:tcPr>
          <w:p w14:paraId="13609CBC" w14:textId="3ECB5534" w:rsidR="00765418" w:rsidRPr="005522F4" w:rsidRDefault="00765418" w:rsidP="005522F4">
            <w:pPr>
              <w:tabs>
                <w:tab w:val="left" w:pos="467"/>
              </w:tabs>
              <w:rPr>
                <w:rFonts w:ascii="Verdana" w:hAnsi="Verdana"/>
                <w:sz w:val="22"/>
                <w:szCs w:val="22"/>
              </w:rPr>
            </w:pPr>
            <w:r>
              <w:rPr>
                <w:rFonts w:ascii="Verdana" w:hAnsi="Verdana"/>
                <w:sz w:val="22"/>
                <w:szCs w:val="22"/>
              </w:rPr>
              <w:t>Creative Support Limited</w:t>
            </w:r>
          </w:p>
        </w:tc>
        <w:tc>
          <w:tcPr>
            <w:tcW w:w="1078" w:type="dxa"/>
            <w:tcBorders>
              <w:top w:val="nil"/>
              <w:bottom w:val="nil"/>
            </w:tcBorders>
          </w:tcPr>
          <w:p w14:paraId="7C69895F" w14:textId="55A6E84A" w:rsidR="00765418" w:rsidRPr="005522F4" w:rsidRDefault="00765418" w:rsidP="009B745E">
            <w:pPr>
              <w:tabs>
                <w:tab w:val="left" w:pos="467"/>
              </w:tabs>
              <w:jc w:val="center"/>
              <w:rPr>
                <w:rFonts w:ascii="Verdana" w:hAnsi="Verdana"/>
                <w:sz w:val="22"/>
                <w:szCs w:val="22"/>
              </w:rPr>
            </w:pPr>
            <w:r>
              <w:rPr>
                <w:rFonts w:ascii="Verdana" w:hAnsi="Verdana"/>
                <w:sz w:val="22"/>
                <w:szCs w:val="22"/>
              </w:rPr>
              <w:t>32</w:t>
            </w:r>
          </w:p>
        </w:tc>
        <w:tc>
          <w:tcPr>
            <w:tcW w:w="1907" w:type="dxa"/>
            <w:tcBorders>
              <w:top w:val="nil"/>
              <w:bottom w:val="nil"/>
            </w:tcBorders>
            <w:noWrap/>
          </w:tcPr>
          <w:p w14:paraId="77C800BD" w14:textId="77777777" w:rsidR="00765418" w:rsidRPr="005522F4" w:rsidRDefault="00765418" w:rsidP="009B745E">
            <w:pPr>
              <w:tabs>
                <w:tab w:val="left" w:pos="467"/>
              </w:tabs>
              <w:jc w:val="center"/>
              <w:rPr>
                <w:rFonts w:ascii="Verdana" w:hAnsi="Verdana"/>
                <w:sz w:val="22"/>
                <w:szCs w:val="22"/>
              </w:rPr>
            </w:pPr>
          </w:p>
        </w:tc>
        <w:tc>
          <w:tcPr>
            <w:tcW w:w="1457" w:type="dxa"/>
            <w:tcBorders>
              <w:top w:val="nil"/>
              <w:bottom w:val="nil"/>
            </w:tcBorders>
            <w:noWrap/>
          </w:tcPr>
          <w:p w14:paraId="4ED13CFC" w14:textId="77777777" w:rsidR="00765418" w:rsidRPr="005522F4" w:rsidRDefault="00765418" w:rsidP="009B745E">
            <w:pPr>
              <w:tabs>
                <w:tab w:val="left" w:pos="467"/>
              </w:tabs>
              <w:jc w:val="center"/>
              <w:rPr>
                <w:rFonts w:ascii="Verdana" w:hAnsi="Verdana"/>
                <w:sz w:val="22"/>
                <w:szCs w:val="22"/>
              </w:rPr>
            </w:pPr>
          </w:p>
        </w:tc>
        <w:tc>
          <w:tcPr>
            <w:tcW w:w="996" w:type="dxa"/>
            <w:tcBorders>
              <w:top w:val="nil"/>
              <w:bottom w:val="nil"/>
            </w:tcBorders>
            <w:noWrap/>
          </w:tcPr>
          <w:p w14:paraId="4C1D5FCB" w14:textId="13922E94" w:rsidR="00765418" w:rsidRPr="005522F4" w:rsidRDefault="00765418" w:rsidP="009B745E">
            <w:pPr>
              <w:tabs>
                <w:tab w:val="left" w:pos="467"/>
              </w:tabs>
              <w:jc w:val="center"/>
              <w:rPr>
                <w:rFonts w:ascii="Verdana" w:hAnsi="Verdana"/>
                <w:sz w:val="22"/>
                <w:szCs w:val="22"/>
              </w:rPr>
            </w:pPr>
            <w:r>
              <w:rPr>
                <w:rFonts w:ascii="Verdana" w:hAnsi="Verdana"/>
                <w:sz w:val="22"/>
                <w:szCs w:val="22"/>
              </w:rPr>
              <w:t>17</w:t>
            </w:r>
          </w:p>
        </w:tc>
        <w:tc>
          <w:tcPr>
            <w:tcW w:w="1359" w:type="dxa"/>
            <w:tcBorders>
              <w:top w:val="nil"/>
              <w:bottom w:val="nil"/>
              <w:right w:val="nil"/>
            </w:tcBorders>
            <w:noWrap/>
          </w:tcPr>
          <w:p w14:paraId="1DF0DD31" w14:textId="6A119C09" w:rsidR="00765418" w:rsidRPr="005522F4" w:rsidRDefault="00765418" w:rsidP="009B745E">
            <w:pPr>
              <w:tabs>
                <w:tab w:val="left" w:pos="467"/>
              </w:tabs>
              <w:jc w:val="center"/>
              <w:rPr>
                <w:rFonts w:ascii="Verdana" w:hAnsi="Verdana"/>
                <w:sz w:val="22"/>
                <w:szCs w:val="22"/>
              </w:rPr>
            </w:pPr>
            <w:r>
              <w:rPr>
                <w:rFonts w:ascii="Verdana" w:hAnsi="Verdana"/>
                <w:sz w:val="22"/>
                <w:szCs w:val="22"/>
              </w:rPr>
              <w:t>5</w:t>
            </w:r>
          </w:p>
        </w:tc>
      </w:tr>
      <w:tr w:rsidR="00765418" w:rsidRPr="005522F4" w14:paraId="61D2659C" w14:textId="77777777" w:rsidTr="009B745E">
        <w:trPr>
          <w:trHeight w:val="300"/>
        </w:trPr>
        <w:tc>
          <w:tcPr>
            <w:tcW w:w="4109" w:type="dxa"/>
            <w:tcBorders>
              <w:top w:val="nil"/>
              <w:left w:val="nil"/>
              <w:bottom w:val="nil"/>
            </w:tcBorders>
            <w:noWrap/>
          </w:tcPr>
          <w:p w14:paraId="53B2F39A" w14:textId="11FD7AF4" w:rsidR="00765418" w:rsidRPr="005522F4" w:rsidRDefault="00765418" w:rsidP="005522F4">
            <w:pPr>
              <w:tabs>
                <w:tab w:val="left" w:pos="467"/>
              </w:tabs>
              <w:rPr>
                <w:rFonts w:ascii="Verdana" w:hAnsi="Verdana"/>
                <w:sz w:val="22"/>
                <w:szCs w:val="22"/>
              </w:rPr>
            </w:pPr>
            <w:r>
              <w:rPr>
                <w:rFonts w:ascii="Verdana" w:hAnsi="Verdana"/>
                <w:sz w:val="22"/>
                <w:szCs w:val="22"/>
              </w:rPr>
              <w:t>Legal &amp; General Affordable Homes Limited</w:t>
            </w:r>
          </w:p>
        </w:tc>
        <w:tc>
          <w:tcPr>
            <w:tcW w:w="1078" w:type="dxa"/>
            <w:tcBorders>
              <w:top w:val="nil"/>
              <w:bottom w:val="nil"/>
            </w:tcBorders>
          </w:tcPr>
          <w:p w14:paraId="133849FE" w14:textId="137C61B7" w:rsidR="00765418" w:rsidRPr="005522F4" w:rsidRDefault="00765418" w:rsidP="009B745E">
            <w:pPr>
              <w:tabs>
                <w:tab w:val="left" w:pos="467"/>
              </w:tabs>
              <w:jc w:val="center"/>
              <w:rPr>
                <w:rFonts w:ascii="Verdana" w:hAnsi="Verdana"/>
                <w:sz w:val="22"/>
                <w:szCs w:val="22"/>
              </w:rPr>
            </w:pPr>
            <w:r>
              <w:rPr>
                <w:rFonts w:ascii="Verdana" w:hAnsi="Verdana"/>
                <w:sz w:val="22"/>
                <w:szCs w:val="22"/>
              </w:rPr>
              <w:t>30</w:t>
            </w:r>
          </w:p>
        </w:tc>
        <w:tc>
          <w:tcPr>
            <w:tcW w:w="1907" w:type="dxa"/>
            <w:tcBorders>
              <w:top w:val="nil"/>
              <w:bottom w:val="nil"/>
            </w:tcBorders>
            <w:noWrap/>
          </w:tcPr>
          <w:p w14:paraId="717B5017" w14:textId="6BFD3C2D" w:rsidR="00765418" w:rsidRPr="005522F4" w:rsidRDefault="00765418" w:rsidP="009B745E">
            <w:pPr>
              <w:tabs>
                <w:tab w:val="left" w:pos="467"/>
              </w:tabs>
              <w:jc w:val="center"/>
              <w:rPr>
                <w:rFonts w:ascii="Verdana" w:hAnsi="Verdana"/>
                <w:sz w:val="22"/>
                <w:szCs w:val="22"/>
              </w:rPr>
            </w:pPr>
            <w:r>
              <w:rPr>
                <w:rFonts w:ascii="Verdana" w:hAnsi="Verdana"/>
                <w:sz w:val="22"/>
                <w:szCs w:val="22"/>
              </w:rPr>
              <w:t>11</w:t>
            </w:r>
          </w:p>
        </w:tc>
        <w:tc>
          <w:tcPr>
            <w:tcW w:w="1457" w:type="dxa"/>
            <w:tcBorders>
              <w:top w:val="nil"/>
              <w:bottom w:val="nil"/>
            </w:tcBorders>
            <w:noWrap/>
          </w:tcPr>
          <w:p w14:paraId="22BC72C0" w14:textId="5E2448B3" w:rsidR="00765418" w:rsidRPr="005522F4" w:rsidRDefault="00765418" w:rsidP="009B745E">
            <w:pPr>
              <w:tabs>
                <w:tab w:val="left" w:pos="467"/>
              </w:tabs>
              <w:jc w:val="center"/>
              <w:rPr>
                <w:rFonts w:ascii="Verdana" w:hAnsi="Verdana"/>
                <w:sz w:val="22"/>
                <w:szCs w:val="22"/>
              </w:rPr>
            </w:pPr>
            <w:r>
              <w:rPr>
                <w:rFonts w:ascii="Verdana" w:hAnsi="Verdana"/>
                <w:sz w:val="22"/>
                <w:szCs w:val="22"/>
              </w:rPr>
              <w:t>19</w:t>
            </w:r>
          </w:p>
        </w:tc>
        <w:tc>
          <w:tcPr>
            <w:tcW w:w="996" w:type="dxa"/>
            <w:tcBorders>
              <w:top w:val="nil"/>
              <w:bottom w:val="nil"/>
            </w:tcBorders>
            <w:noWrap/>
          </w:tcPr>
          <w:p w14:paraId="328AF4E9" w14:textId="77777777" w:rsidR="00765418" w:rsidRPr="005522F4" w:rsidRDefault="00765418" w:rsidP="009B745E">
            <w:pPr>
              <w:tabs>
                <w:tab w:val="left" w:pos="467"/>
              </w:tabs>
              <w:jc w:val="center"/>
              <w:rPr>
                <w:rFonts w:ascii="Verdana" w:hAnsi="Verdana"/>
                <w:sz w:val="22"/>
                <w:szCs w:val="22"/>
              </w:rPr>
            </w:pPr>
          </w:p>
        </w:tc>
        <w:tc>
          <w:tcPr>
            <w:tcW w:w="1359" w:type="dxa"/>
            <w:tcBorders>
              <w:top w:val="nil"/>
              <w:bottom w:val="nil"/>
              <w:right w:val="nil"/>
            </w:tcBorders>
            <w:noWrap/>
          </w:tcPr>
          <w:p w14:paraId="17E25B39" w14:textId="77777777" w:rsidR="00765418" w:rsidRPr="005522F4" w:rsidRDefault="00765418" w:rsidP="009B745E">
            <w:pPr>
              <w:tabs>
                <w:tab w:val="left" w:pos="467"/>
              </w:tabs>
              <w:jc w:val="center"/>
              <w:rPr>
                <w:rFonts w:ascii="Verdana" w:hAnsi="Verdana"/>
                <w:sz w:val="22"/>
                <w:szCs w:val="22"/>
              </w:rPr>
            </w:pPr>
          </w:p>
        </w:tc>
      </w:tr>
      <w:tr w:rsidR="00765418" w:rsidRPr="00765418" w14:paraId="68C07952" w14:textId="77777777" w:rsidTr="009B745E">
        <w:trPr>
          <w:trHeight w:val="300"/>
        </w:trPr>
        <w:tc>
          <w:tcPr>
            <w:tcW w:w="4109" w:type="dxa"/>
            <w:tcBorders>
              <w:top w:val="nil"/>
              <w:left w:val="nil"/>
              <w:bottom w:val="nil"/>
            </w:tcBorders>
            <w:noWrap/>
          </w:tcPr>
          <w:p w14:paraId="293875E9" w14:textId="6FCDE470" w:rsidR="00765418" w:rsidRPr="00765418" w:rsidRDefault="00765418" w:rsidP="00765418">
            <w:pPr>
              <w:tabs>
                <w:tab w:val="left" w:pos="467"/>
              </w:tabs>
              <w:rPr>
                <w:rFonts w:ascii="Verdana" w:hAnsi="Verdana"/>
                <w:sz w:val="22"/>
                <w:szCs w:val="22"/>
              </w:rPr>
            </w:pPr>
            <w:r w:rsidRPr="00765418">
              <w:rPr>
                <w:rFonts w:ascii="Verdana" w:hAnsi="Verdana"/>
                <w:sz w:val="22"/>
                <w:szCs w:val="22"/>
              </w:rPr>
              <w:t>Ben-Motor &amp; Allied Trades Benevolent Fund</w:t>
            </w:r>
          </w:p>
        </w:tc>
        <w:tc>
          <w:tcPr>
            <w:tcW w:w="1078" w:type="dxa"/>
            <w:tcBorders>
              <w:top w:val="nil"/>
              <w:bottom w:val="nil"/>
            </w:tcBorders>
          </w:tcPr>
          <w:p w14:paraId="7610422F" w14:textId="2D585B61" w:rsidR="00765418" w:rsidRPr="00765418" w:rsidRDefault="00765418" w:rsidP="009B745E">
            <w:pPr>
              <w:tabs>
                <w:tab w:val="left" w:pos="467"/>
              </w:tabs>
              <w:jc w:val="center"/>
              <w:rPr>
                <w:rFonts w:ascii="Verdana" w:hAnsi="Verdana"/>
                <w:sz w:val="22"/>
                <w:szCs w:val="22"/>
              </w:rPr>
            </w:pPr>
            <w:r>
              <w:rPr>
                <w:rFonts w:ascii="Verdana" w:hAnsi="Verdana"/>
                <w:sz w:val="22"/>
                <w:szCs w:val="22"/>
              </w:rPr>
              <w:t>28</w:t>
            </w:r>
          </w:p>
        </w:tc>
        <w:tc>
          <w:tcPr>
            <w:tcW w:w="1907" w:type="dxa"/>
            <w:tcBorders>
              <w:top w:val="nil"/>
              <w:bottom w:val="nil"/>
            </w:tcBorders>
            <w:noWrap/>
          </w:tcPr>
          <w:p w14:paraId="68C7FD68" w14:textId="77777777" w:rsidR="00765418" w:rsidRPr="00765418" w:rsidRDefault="00765418" w:rsidP="009B745E">
            <w:pPr>
              <w:tabs>
                <w:tab w:val="left" w:pos="467"/>
              </w:tabs>
              <w:jc w:val="center"/>
              <w:rPr>
                <w:rFonts w:ascii="Verdana" w:hAnsi="Verdana"/>
                <w:sz w:val="22"/>
                <w:szCs w:val="22"/>
              </w:rPr>
            </w:pPr>
          </w:p>
        </w:tc>
        <w:tc>
          <w:tcPr>
            <w:tcW w:w="1457" w:type="dxa"/>
            <w:tcBorders>
              <w:top w:val="nil"/>
              <w:bottom w:val="nil"/>
            </w:tcBorders>
            <w:noWrap/>
          </w:tcPr>
          <w:p w14:paraId="5B517431" w14:textId="77777777" w:rsidR="00765418" w:rsidRPr="00765418" w:rsidRDefault="00765418" w:rsidP="009B745E">
            <w:pPr>
              <w:tabs>
                <w:tab w:val="left" w:pos="467"/>
              </w:tabs>
              <w:jc w:val="center"/>
              <w:rPr>
                <w:rFonts w:ascii="Verdana" w:hAnsi="Verdana"/>
                <w:sz w:val="22"/>
                <w:szCs w:val="22"/>
              </w:rPr>
            </w:pPr>
          </w:p>
        </w:tc>
        <w:tc>
          <w:tcPr>
            <w:tcW w:w="996" w:type="dxa"/>
            <w:tcBorders>
              <w:top w:val="nil"/>
              <w:bottom w:val="nil"/>
            </w:tcBorders>
            <w:noWrap/>
          </w:tcPr>
          <w:p w14:paraId="5EE36DD7" w14:textId="199412C0" w:rsidR="00765418" w:rsidRPr="00765418" w:rsidRDefault="00765418" w:rsidP="009B745E">
            <w:pPr>
              <w:tabs>
                <w:tab w:val="left" w:pos="467"/>
              </w:tabs>
              <w:jc w:val="center"/>
              <w:rPr>
                <w:rFonts w:ascii="Verdana" w:hAnsi="Verdana"/>
                <w:sz w:val="22"/>
                <w:szCs w:val="22"/>
              </w:rPr>
            </w:pPr>
            <w:r>
              <w:rPr>
                <w:rFonts w:ascii="Verdana" w:hAnsi="Verdana"/>
                <w:sz w:val="22"/>
                <w:szCs w:val="22"/>
              </w:rPr>
              <w:t>28</w:t>
            </w:r>
          </w:p>
        </w:tc>
        <w:tc>
          <w:tcPr>
            <w:tcW w:w="1359" w:type="dxa"/>
            <w:tcBorders>
              <w:top w:val="nil"/>
              <w:bottom w:val="nil"/>
              <w:right w:val="nil"/>
            </w:tcBorders>
            <w:noWrap/>
          </w:tcPr>
          <w:p w14:paraId="55F9BC7A" w14:textId="77777777" w:rsidR="00765418" w:rsidRPr="00765418" w:rsidRDefault="00765418" w:rsidP="009B745E">
            <w:pPr>
              <w:tabs>
                <w:tab w:val="left" w:pos="467"/>
              </w:tabs>
              <w:jc w:val="center"/>
              <w:rPr>
                <w:rFonts w:ascii="Verdana" w:hAnsi="Verdana"/>
                <w:sz w:val="22"/>
                <w:szCs w:val="22"/>
              </w:rPr>
            </w:pPr>
          </w:p>
        </w:tc>
      </w:tr>
      <w:tr w:rsidR="005522F4" w:rsidRPr="005522F4" w14:paraId="7A3EAA2B" w14:textId="77777777" w:rsidTr="009B745E">
        <w:trPr>
          <w:trHeight w:val="300"/>
        </w:trPr>
        <w:tc>
          <w:tcPr>
            <w:tcW w:w="4109" w:type="dxa"/>
            <w:tcBorders>
              <w:top w:val="nil"/>
              <w:left w:val="nil"/>
              <w:bottom w:val="nil"/>
            </w:tcBorders>
            <w:noWrap/>
            <w:hideMark/>
          </w:tcPr>
          <w:p w14:paraId="6238BEE7" w14:textId="77777777" w:rsidR="005522F4" w:rsidRPr="005522F4" w:rsidRDefault="005522F4" w:rsidP="005522F4">
            <w:pPr>
              <w:tabs>
                <w:tab w:val="left" w:pos="467"/>
              </w:tabs>
              <w:rPr>
                <w:rFonts w:ascii="Verdana" w:hAnsi="Verdana"/>
                <w:sz w:val="22"/>
                <w:szCs w:val="22"/>
              </w:rPr>
            </w:pPr>
            <w:r w:rsidRPr="005522F4">
              <w:rPr>
                <w:rFonts w:ascii="Verdana" w:hAnsi="Verdana"/>
                <w:sz w:val="22"/>
                <w:szCs w:val="22"/>
              </w:rPr>
              <w:t>Nicholas Chamberlaine's Hospital &amp; Sermon Charity</w:t>
            </w:r>
          </w:p>
        </w:tc>
        <w:tc>
          <w:tcPr>
            <w:tcW w:w="1078" w:type="dxa"/>
            <w:tcBorders>
              <w:top w:val="nil"/>
              <w:bottom w:val="nil"/>
            </w:tcBorders>
          </w:tcPr>
          <w:p w14:paraId="360096EF"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28</w:t>
            </w:r>
          </w:p>
        </w:tc>
        <w:tc>
          <w:tcPr>
            <w:tcW w:w="1907" w:type="dxa"/>
            <w:tcBorders>
              <w:top w:val="nil"/>
              <w:bottom w:val="nil"/>
            </w:tcBorders>
            <w:noWrap/>
            <w:hideMark/>
          </w:tcPr>
          <w:p w14:paraId="4FAB21B2"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73387F74"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28</w:t>
            </w:r>
          </w:p>
        </w:tc>
        <w:tc>
          <w:tcPr>
            <w:tcW w:w="996" w:type="dxa"/>
            <w:tcBorders>
              <w:top w:val="nil"/>
              <w:bottom w:val="nil"/>
            </w:tcBorders>
            <w:noWrap/>
            <w:hideMark/>
          </w:tcPr>
          <w:p w14:paraId="597E8484" w14:textId="77777777" w:rsidR="005522F4" w:rsidRPr="005522F4" w:rsidRDefault="005522F4" w:rsidP="009B745E">
            <w:pPr>
              <w:tabs>
                <w:tab w:val="left" w:pos="467"/>
              </w:tabs>
              <w:jc w:val="center"/>
              <w:rPr>
                <w:rFonts w:ascii="Verdana" w:hAnsi="Verdana"/>
                <w:sz w:val="22"/>
                <w:szCs w:val="22"/>
              </w:rPr>
            </w:pPr>
          </w:p>
        </w:tc>
        <w:tc>
          <w:tcPr>
            <w:tcW w:w="1359" w:type="dxa"/>
            <w:tcBorders>
              <w:top w:val="nil"/>
              <w:bottom w:val="nil"/>
              <w:right w:val="nil"/>
            </w:tcBorders>
            <w:noWrap/>
            <w:hideMark/>
          </w:tcPr>
          <w:p w14:paraId="65AEB410" w14:textId="77777777" w:rsidR="005522F4" w:rsidRPr="005522F4" w:rsidRDefault="005522F4" w:rsidP="009B745E">
            <w:pPr>
              <w:tabs>
                <w:tab w:val="left" w:pos="467"/>
              </w:tabs>
              <w:jc w:val="center"/>
              <w:rPr>
                <w:rFonts w:ascii="Verdana" w:hAnsi="Verdana"/>
                <w:sz w:val="22"/>
                <w:szCs w:val="22"/>
              </w:rPr>
            </w:pPr>
          </w:p>
        </w:tc>
      </w:tr>
      <w:tr w:rsidR="005139A2" w:rsidRPr="005139A2" w14:paraId="22FE919B" w14:textId="77777777" w:rsidTr="009B745E">
        <w:trPr>
          <w:trHeight w:val="300"/>
        </w:trPr>
        <w:tc>
          <w:tcPr>
            <w:tcW w:w="4109" w:type="dxa"/>
            <w:tcBorders>
              <w:top w:val="nil"/>
              <w:left w:val="nil"/>
              <w:bottom w:val="nil"/>
              <w:right w:val="single" w:sz="4" w:space="0" w:color="auto"/>
            </w:tcBorders>
            <w:noWrap/>
          </w:tcPr>
          <w:p w14:paraId="34F45239" w14:textId="490EB149" w:rsidR="005139A2" w:rsidRPr="005139A2" w:rsidRDefault="005139A2" w:rsidP="005139A2">
            <w:pPr>
              <w:tabs>
                <w:tab w:val="left" w:pos="467"/>
              </w:tabs>
              <w:rPr>
                <w:rFonts w:ascii="Verdana" w:hAnsi="Verdana"/>
                <w:sz w:val="22"/>
                <w:szCs w:val="22"/>
              </w:rPr>
            </w:pPr>
            <w:r w:rsidRPr="005139A2">
              <w:rPr>
                <w:rFonts w:ascii="Verdana" w:hAnsi="Verdana"/>
                <w:sz w:val="22"/>
                <w:szCs w:val="22"/>
              </w:rPr>
              <w:t>Advance Housing and Support</w:t>
            </w:r>
          </w:p>
        </w:tc>
        <w:tc>
          <w:tcPr>
            <w:tcW w:w="1078" w:type="dxa"/>
            <w:tcBorders>
              <w:top w:val="nil"/>
              <w:left w:val="single" w:sz="4" w:space="0" w:color="auto"/>
              <w:bottom w:val="nil"/>
              <w:right w:val="single" w:sz="4" w:space="0" w:color="auto"/>
            </w:tcBorders>
          </w:tcPr>
          <w:p w14:paraId="1C031B4B" w14:textId="53B4158F" w:rsidR="005139A2" w:rsidRPr="005139A2" w:rsidRDefault="005139A2" w:rsidP="009B745E">
            <w:pPr>
              <w:tabs>
                <w:tab w:val="left" w:pos="467"/>
              </w:tabs>
              <w:jc w:val="center"/>
              <w:rPr>
                <w:rFonts w:ascii="Verdana" w:hAnsi="Verdana"/>
                <w:sz w:val="22"/>
                <w:szCs w:val="22"/>
              </w:rPr>
            </w:pPr>
            <w:r w:rsidRPr="005139A2">
              <w:rPr>
                <w:rFonts w:ascii="Verdana" w:hAnsi="Verdana"/>
                <w:sz w:val="22"/>
                <w:szCs w:val="22"/>
              </w:rPr>
              <w:t>27</w:t>
            </w:r>
          </w:p>
        </w:tc>
        <w:tc>
          <w:tcPr>
            <w:tcW w:w="1907" w:type="dxa"/>
            <w:tcBorders>
              <w:top w:val="nil"/>
              <w:left w:val="single" w:sz="4" w:space="0" w:color="auto"/>
              <w:bottom w:val="nil"/>
              <w:right w:val="single" w:sz="4" w:space="0" w:color="auto"/>
            </w:tcBorders>
            <w:noWrap/>
          </w:tcPr>
          <w:p w14:paraId="3E3AC3C5" w14:textId="3EABF933" w:rsidR="005139A2" w:rsidRPr="005139A2" w:rsidRDefault="005139A2" w:rsidP="009B745E">
            <w:pPr>
              <w:tabs>
                <w:tab w:val="left" w:pos="467"/>
              </w:tabs>
              <w:jc w:val="center"/>
              <w:rPr>
                <w:rFonts w:ascii="Verdana" w:hAnsi="Verdana"/>
                <w:sz w:val="22"/>
                <w:szCs w:val="22"/>
              </w:rPr>
            </w:pPr>
            <w:r w:rsidRPr="005139A2">
              <w:rPr>
                <w:rFonts w:ascii="Verdana" w:hAnsi="Verdana"/>
                <w:sz w:val="22"/>
                <w:szCs w:val="22"/>
              </w:rPr>
              <w:t>1</w:t>
            </w:r>
          </w:p>
        </w:tc>
        <w:tc>
          <w:tcPr>
            <w:tcW w:w="1457" w:type="dxa"/>
            <w:tcBorders>
              <w:top w:val="nil"/>
              <w:left w:val="single" w:sz="4" w:space="0" w:color="auto"/>
              <w:bottom w:val="nil"/>
              <w:right w:val="single" w:sz="4" w:space="0" w:color="auto"/>
            </w:tcBorders>
            <w:noWrap/>
          </w:tcPr>
          <w:p w14:paraId="6F7526E5" w14:textId="6683E2BB" w:rsidR="005139A2" w:rsidRPr="005139A2" w:rsidRDefault="005139A2" w:rsidP="009B745E">
            <w:pPr>
              <w:tabs>
                <w:tab w:val="left" w:pos="467"/>
              </w:tabs>
              <w:jc w:val="center"/>
              <w:rPr>
                <w:rFonts w:ascii="Verdana" w:hAnsi="Verdana"/>
                <w:sz w:val="22"/>
                <w:szCs w:val="22"/>
              </w:rPr>
            </w:pPr>
            <w:r w:rsidRPr="005139A2">
              <w:rPr>
                <w:rFonts w:ascii="Verdana" w:hAnsi="Verdana"/>
                <w:sz w:val="22"/>
                <w:szCs w:val="22"/>
              </w:rPr>
              <w:t>15</w:t>
            </w:r>
          </w:p>
        </w:tc>
        <w:tc>
          <w:tcPr>
            <w:tcW w:w="996" w:type="dxa"/>
            <w:tcBorders>
              <w:top w:val="nil"/>
              <w:left w:val="single" w:sz="4" w:space="0" w:color="auto"/>
              <w:bottom w:val="nil"/>
              <w:right w:val="single" w:sz="4" w:space="0" w:color="auto"/>
            </w:tcBorders>
            <w:noWrap/>
          </w:tcPr>
          <w:p w14:paraId="7C620038" w14:textId="6C9E0B87" w:rsidR="005139A2" w:rsidRPr="005139A2" w:rsidRDefault="005139A2" w:rsidP="009B745E">
            <w:pPr>
              <w:tabs>
                <w:tab w:val="left" w:pos="467"/>
              </w:tabs>
              <w:jc w:val="center"/>
              <w:rPr>
                <w:rFonts w:ascii="Verdana" w:hAnsi="Verdana"/>
                <w:sz w:val="22"/>
                <w:szCs w:val="22"/>
              </w:rPr>
            </w:pPr>
            <w:r w:rsidRPr="005139A2">
              <w:rPr>
                <w:rFonts w:ascii="Verdana" w:hAnsi="Verdana"/>
                <w:sz w:val="22"/>
                <w:szCs w:val="22"/>
              </w:rPr>
              <w:t>9</w:t>
            </w:r>
          </w:p>
        </w:tc>
        <w:tc>
          <w:tcPr>
            <w:tcW w:w="1359" w:type="dxa"/>
            <w:tcBorders>
              <w:top w:val="nil"/>
              <w:left w:val="single" w:sz="4" w:space="0" w:color="auto"/>
              <w:bottom w:val="nil"/>
              <w:right w:val="nil"/>
            </w:tcBorders>
            <w:noWrap/>
          </w:tcPr>
          <w:p w14:paraId="56AF6D3D" w14:textId="062D33F5" w:rsidR="005139A2" w:rsidRPr="005139A2" w:rsidRDefault="005139A2" w:rsidP="009B745E">
            <w:pPr>
              <w:tabs>
                <w:tab w:val="left" w:pos="467"/>
              </w:tabs>
              <w:jc w:val="center"/>
              <w:rPr>
                <w:rFonts w:ascii="Verdana" w:hAnsi="Verdana"/>
                <w:sz w:val="22"/>
                <w:szCs w:val="22"/>
              </w:rPr>
            </w:pPr>
            <w:r w:rsidRPr="005139A2">
              <w:rPr>
                <w:rFonts w:ascii="Verdana" w:hAnsi="Verdana"/>
                <w:sz w:val="22"/>
                <w:szCs w:val="22"/>
              </w:rPr>
              <w:t>2</w:t>
            </w:r>
          </w:p>
        </w:tc>
      </w:tr>
      <w:tr w:rsidR="00177C82" w:rsidRPr="005522F4" w14:paraId="01149437" w14:textId="77777777" w:rsidTr="009B745E">
        <w:trPr>
          <w:trHeight w:val="300"/>
        </w:trPr>
        <w:tc>
          <w:tcPr>
            <w:tcW w:w="4109" w:type="dxa"/>
            <w:tcBorders>
              <w:top w:val="nil"/>
              <w:left w:val="nil"/>
              <w:bottom w:val="nil"/>
              <w:right w:val="single" w:sz="4" w:space="0" w:color="auto"/>
            </w:tcBorders>
            <w:noWrap/>
          </w:tcPr>
          <w:p w14:paraId="51132416" w14:textId="1A7D15B1" w:rsidR="00177C82" w:rsidRPr="005522F4" w:rsidRDefault="00765418" w:rsidP="005522F4">
            <w:pPr>
              <w:tabs>
                <w:tab w:val="left" w:pos="467"/>
              </w:tabs>
              <w:rPr>
                <w:rFonts w:ascii="Verdana" w:hAnsi="Verdana"/>
                <w:sz w:val="22"/>
                <w:szCs w:val="22"/>
              </w:rPr>
            </w:pPr>
            <w:r>
              <w:rPr>
                <w:rFonts w:ascii="Verdana" w:hAnsi="Verdana"/>
                <w:sz w:val="22"/>
                <w:szCs w:val="22"/>
              </w:rPr>
              <w:t>Fairplace Homes Ltd</w:t>
            </w:r>
          </w:p>
        </w:tc>
        <w:tc>
          <w:tcPr>
            <w:tcW w:w="1078" w:type="dxa"/>
            <w:tcBorders>
              <w:top w:val="nil"/>
              <w:left w:val="single" w:sz="4" w:space="0" w:color="auto"/>
              <w:bottom w:val="nil"/>
              <w:right w:val="single" w:sz="4" w:space="0" w:color="auto"/>
            </w:tcBorders>
          </w:tcPr>
          <w:p w14:paraId="665C528E" w14:textId="1D73D4FD" w:rsidR="00177C82" w:rsidRPr="005522F4" w:rsidRDefault="00765418" w:rsidP="009B745E">
            <w:pPr>
              <w:tabs>
                <w:tab w:val="left" w:pos="467"/>
              </w:tabs>
              <w:jc w:val="center"/>
              <w:rPr>
                <w:rFonts w:ascii="Verdana" w:hAnsi="Verdana"/>
                <w:sz w:val="22"/>
                <w:szCs w:val="22"/>
              </w:rPr>
            </w:pPr>
            <w:r>
              <w:rPr>
                <w:rFonts w:ascii="Verdana" w:hAnsi="Verdana"/>
                <w:sz w:val="22"/>
                <w:szCs w:val="22"/>
              </w:rPr>
              <w:t>25</w:t>
            </w:r>
          </w:p>
        </w:tc>
        <w:tc>
          <w:tcPr>
            <w:tcW w:w="1907" w:type="dxa"/>
            <w:tcBorders>
              <w:top w:val="nil"/>
              <w:left w:val="single" w:sz="4" w:space="0" w:color="auto"/>
              <w:bottom w:val="nil"/>
              <w:right w:val="single" w:sz="4" w:space="0" w:color="auto"/>
            </w:tcBorders>
            <w:noWrap/>
          </w:tcPr>
          <w:p w14:paraId="7ED8075F" w14:textId="7FBEB83C" w:rsidR="00177C82" w:rsidRPr="005522F4" w:rsidRDefault="00765418" w:rsidP="009B745E">
            <w:pPr>
              <w:tabs>
                <w:tab w:val="left" w:pos="467"/>
              </w:tabs>
              <w:jc w:val="center"/>
              <w:rPr>
                <w:rFonts w:ascii="Verdana" w:hAnsi="Verdana"/>
                <w:sz w:val="22"/>
                <w:szCs w:val="22"/>
              </w:rPr>
            </w:pPr>
            <w:r>
              <w:rPr>
                <w:rFonts w:ascii="Verdana" w:hAnsi="Verdana"/>
                <w:sz w:val="22"/>
                <w:szCs w:val="22"/>
              </w:rPr>
              <w:t>2</w:t>
            </w:r>
          </w:p>
        </w:tc>
        <w:tc>
          <w:tcPr>
            <w:tcW w:w="1457" w:type="dxa"/>
            <w:tcBorders>
              <w:top w:val="nil"/>
              <w:left w:val="single" w:sz="4" w:space="0" w:color="auto"/>
              <w:bottom w:val="nil"/>
              <w:right w:val="single" w:sz="4" w:space="0" w:color="auto"/>
            </w:tcBorders>
            <w:noWrap/>
          </w:tcPr>
          <w:p w14:paraId="409FB608" w14:textId="19688356" w:rsidR="00177C82" w:rsidRPr="005522F4" w:rsidRDefault="00765418" w:rsidP="009B745E">
            <w:pPr>
              <w:tabs>
                <w:tab w:val="left" w:pos="467"/>
              </w:tabs>
              <w:jc w:val="center"/>
              <w:rPr>
                <w:rFonts w:ascii="Verdana" w:hAnsi="Verdana"/>
                <w:sz w:val="22"/>
                <w:szCs w:val="22"/>
              </w:rPr>
            </w:pPr>
            <w:r>
              <w:rPr>
                <w:rFonts w:ascii="Verdana" w:hAnsi="Verdana"/>
                <w:sz w:val="22"/>
                <w:szCs w:val="22"/>
              </w:rPr>
              <w:t>16</w:t>
            </w:r>
          </w:p>
        </w:tc>
        <w:tc>
          <w:tcPr>
            <w:tcW w:w="996" w:type="dxa"/>
            <w:tcBorders>
              <w:top w:val="nil"/>
              <w:left w:val="single" w:sz="4" w:space="0" w:color="auto"/>
              <w:bottom w:val="nil"/>
              <w:right w:val="single" w:sz="4" w:space="0" w:color="auto"/>
            </w:tcBorders>
            <w:noWrap/>
          </w:tcPr>
          <w:p w14:paraId="4A1727BF" w14:textId="5983283F" w:rsidR="00177C82" w:rsidRPr="005522F4" w:rsidRDefault="00765418" w:rsidP="009B745E">
            <w:pPr>
              <w:tabs>
                <w:tab w:val="left" w:pos="467"/>
              </w:tabs>
              <w:jc w:val="center"/>
              <w:rPr>
                <w:rFonts w:ascii="Verdana" w:hAnsi="Verdana"/>
                <w:sz w:val="22"/>
                <w:szCs w:val="22"/>
              </w:rPr>
            </w:pPr>
            <w:r>
              <w:rPr>
                <w:rFonts w:ascii="Verdana" w:hAnsi="Verdana"/>
                <w:sz w:val="22"/>
                <w:szCs w:val="22"/>
              </w:rPr>
              <w:t>1</w:t>
            </w:r>
          </w:p>
        </w:tc>
        <w:tc>
          <w:tcPr>
            <w:tcW w:w="1359" w:type="dxa"/>
            <w:tcBorders>
              <w:top w:val="nil"/>
              <w:left w:val="single" w:sz="4" w:space="0" w:color="auto"/>
              <w:bottom w:val="nil"/>
              <w:right w:val="nil"/>
            </w:tcBorders>
            <w:noWrap/>
          </w:tcPr>
          <w:p w14:paraId="755CB83B" w14:textId="17ABE6F6" w:rsidR="00177C82" w:rsidRPr="005522F4" w:rsidRDefault="00765418" w:rsidP="009B745E">
            <w:pPr>
              <w:tabs>
                <w:tab w:val="left" w:pos="467"/>
              </w:tabs>
              <w:jc w:val="center"/>
              <w:rPr>
                <w:rFonts w:ascii="Verdana" w:hAnsi="Verdana"/>
                <w:sz w:val="22"/>
                <w:szCs w:val="22"/>
              </w:rPr>
            </w:pPr>
            <w:r>
              <w:rPr>
                <w:rFonts w:ascii="Verdana" w:hAnsi="Verdana"/>
                <w:sz w:val="22"/>
                <w:szCs w:val="22"/>
              </w:rPr>
              <w:t>6</w:t>
            </w:r>
          </w:p>
        </w:tc>
      </w:tr>
      <w:tr w:rsidR="00765418" w:rsidRPr="005522F4" w14:paraId="44B3F8A4" w14:textId="77777777" w:rsidTr="009B745E">
        <w:trPr>
          <w:trHeight w:val="300"/>
        </w:trPr>
        <w:tc>
          <w:tcPr>
            <w:tcW w:w="4109" w:type="dxa"/>
            <w:tcBorders>
              <w:top w:val="nil"/>
              <w:left w:val="nil"/>
              <w:bottom w:val="nil"/>
            </w:tcBorders>
            <w:noWrap/>
          </w:tcPr>
          <w:p w14:paraId="258B7088" w14:textId="3D96507A" w:rsidR="00765418" w:rsidRPr="005522F4" w:rsidRDefault="00765418" w:rsidP="005522F4">
            <w:pPr>
              <w:tabs>
                <w:tab w:val="left" w:pos="467"/>
              </w:tabs>
              <w:rPr>
                <w:rFonts w:ascii="Verdana" w:hAnsi="Verdana"/>
                <w:sz w:val="22"/>
                <w:szCs w:val="22"/>
              </w:rPr>
            </w:pPr>
            <w:r>
              <w:rPr>
                <w:rFonts w:ascii="Verdana" w:hAnsi="Verdana"/>
                <w:sz w:val="22"/>
                <w:szCs w:val="22"/>
              </w:rPr>
              <w:t>Stonewater (5) Limited</w:t>
            </w:r>
          </w:p>
        </w:tc>
        <w:tc>
          <w:tcPr>
            <w:tcW w:w="1078" w:type="dxa"/>
            <w:tcBorders>
              <w:top w:val="nil"/>
              <w:bottom w:val="nil"/>
            </w:tcBorders>
          </w:tcPr>
          <w:p w14:paraId="7168DBBC" w14:textId="6FF15BC8" w:rsidR="00765418" w:rsidRPr="005522F4" w:rsidRDefault="005139A2" w:rsidP="009B745E">
            <w:pPr>
              <w:tabs>
                <w:tab w:val="left" w:pos="467"/>
              </w:tabs>
              <w:jc w:val="center"/>
              <w:rPr>
                <w:rFonts w:ascii="Verdana" w:hAnsi="Verdana"/>
                <w:sz w:val="22"/>
                <w:szCs w:val="22"/>
              </w:rPr>
            </w:pPr>
            <w:r>
              <w:rPr>
                <w:rFonts w:ascii="Verdana" w:hAnsi="Verdana"/>
                <w:sz w:val="22"/>
                <w:szCs w:val="22"/>
              </w:rPr>
              <w:t>21</w:t>
            </w:r>
          </w:p>
        </w:tc>
        <w:tc>
          <w:tcPr>
            <w:tcW w:w="1907" w:type="dxa"/>
            <w:tcBorders>
              <w:top w:val="nil"/>
              <w:bottom w:val="nil"/>
            </w:tcBorders>
            <w:noWrap/>
          </w:tcPr>
          <w:p w14:paraId="5EC29C54" w14:textId="77777777" w:rsidR="00765418" w:rsidRPr="005522F4" w:rsidRDefault="00765418" w:rsidP="009B745E">
            <w:pPr>
              <w:tabs>
                <w:tab w:val="left" w:pos="467"/>
              </w:tabs>
              <w:jc w:val="center"/>
              <w:rPr>
                <w:rFonts w:ascii="Verdana" w:hAnsi="Verdana"/>
                <w:sz w:val="22"/>
                <w:szCs w:val="22"/>
              </w:rPr>
            </w:pPr>
          </w:p>
        </w:tc>
        <w:tc>
          <w:tcPr>
            <w:tcW w:w="1457" w:type="dxa"/>
            <w:tcBorders>
              <w:top w:val="nil"/>
              <w:bottom w:val="nil"/>
            </w:tcBorders>
            <w:noWrap/>
          </w:tcPr>
          <w:p w14:paraId="6AF4250B" w14:textId="77777777" w:rsidR="00765418" w:rsidRPr="005522F4" w:rsidRDefault="00765418" w:rsidP="009B745E">
            <w:pPr>
              <w:tabs>
                <w:tab w:val="left" w:pos="467"/>
              </w:tabs>
              <w:jc w:val="center"/>
              <w:rPr>
                <w:rFonts w:ascii="Verdana" w:hAnsi="Verdana"/>
                <w:sz w:val="22"/>
                <w:szCs w:val="22"/>
              </w:rPr>
            </w:pPr>
          </w:p>
        </w:tc>
        <w:tc>
          <w:tcPr>
            <w:tcW w:w="996" w:type="dxa"/>
            <w:tcBorders>
              <w:top w:val="nil"/>
              <w:bottom w:val="nil"/>
            </w:tcBorders>
            <w:noWrap/>
          </w:tcPr>
          <w:p w14:paraId="333E11BB" w14:textId="77777777" w:rsidR="00765418" w:rsidRPr="005522F4" w:rsidRDefault="00765418" w:rsidP="009B745E">
            <w:pPr>
              <w:tabs>
                <w:tab w:val="left" w:pos="467"/>
              </w:tabs>
              <w:jc w:val="center"/>
              <w:rPr>
                <w:rFonts w:ascii="Verdana" w:hAnsi="Verdana"/>
                <w:sz w:val="22"/>
                <w:szCs w:val="22"/>
              </w:rPr>
            </w:pPr>
          </w:p>
        </w:tc>
        <w:tc>
          <w:tcPr>
            <w:tcW w:w="1359" w:type="dxa"/>
            <w:tcBorders>
              <w:top w:val="nil"/>
              <w:bottom w:val="nil"/>
              <w:right w:val="nil"/>
            </w:tcBorders>
            <w:noWrap/>
          </w:tcPr>
          <w:p w14:paraId="6F3AFACA" w14:textId="52552B2C" w:rsidR="00765418" w:rsidRPr="005522F4" w:rsidRDefault="005139A2" w:rsidP="009B745E">
            <w:pPr>
              <w:tabs>
                <w:tab w:val="left" w:pos="467"/>
              </w:tabs>
              <w:jc w:val="center"/>
              <w:rPr>
                <w:rFonts w:ascii="Verdana" w:hAnsi="Verdana"/>
                <w:sz w:val="22"/>
                <w:szCs w:val="22"/>
              </w:rPr>
            </w:pPr>
            <w:r>
              <w:rPr>
                <w:rFonts w:ascii="Verdana" w:hAnsi="Verdana"/>
                <w:sz w:val="22"/>
                <w:szCs w:val="22"/>
              </w:rPr>
              <w:t>21</w:t>
            </w:r>
          </w:p>
        </w:tc>
      </w:tr>
      <w:tr w:rsidR="005522F4" w:rsidRPr="005522F4" w14:paraId="4A146407" w14:textId="77777777" w:rsidTr="009B745E">
        <w:trPr>
          <w:trHeight w:val="300"/>
        </w:trPr>
        <w:tc>
          <w:tcPr>
            <w:tcW w:w="4109" w:type="dxa"/>
            <w:tcBorders>
              <w:top w:val="nil"/>
              <w:left w:val="nil"/>
              <w:bottom w:val="nil"/>
            </w:tcBorders>
            <w:noWrap/>
            <w:hideMark/>
          </w:tcPr>
          <w:p w14:paraId="2B3BDD13" w14:textId="4A4208FD" w:rsidR="005522F4" w:rsidRPr="005522F4" w:rsidRDefault="005139A2" w:rsidP="005522F4">
            <w:pPr>
              <w:tabs>
                <w:tab w:val="left" w:pos="467"/>
              </w:tabs>
              <w:rPr>
                <w:rFonts w:ascii="Verdana" w:hAnsi="Verdana"/>
                <w:sz w:val="22"/>
                <w:szCs w:val="22"/>
              </w:rPr>
            </w:pPr>
            <w:r>
              <w:rPr>
                <w:rFonts w:ascii="Verdana" w:hAnsi="Verdana"/>
                <w:sz w:val="22"/>
                <w:szCs w:val="22"/>
              </w:rPr>
              <w:t>Sanctuary Affordable Homes Limited</w:t>
            </w:r>
          </w:p>
        </w:tc>
        <w:tc>
          <w:tcPr>
            <w:tcW w:w="1078" w:type="dxa"/>
            <w:tcBorders>
              <w:top w:val="nil"/>
              <w:bottom w:val="nil"/>
            </w:tcBorders>
          </w:tcPr>
          <w:p w14:paraId="329CE39E" w14:textId="7B9DFDEA" w:rsidR="005522F4" w:rsidRPr="005522F4" w:rsidRDefault="005139A2" w:rsidP="009B745E">
            <w:pPr>
              <w:tabs>
                <w:tab w:val="left" w:pos="467"/>
              </w:tabs>
              <w:jc w:val="center"/>
              <w:rPr>
                <w:rFonts w:ascii="Verdana" w:hAnsi="Verdana"/>
                <w:sz w:val="22"/>
                <w:szCs w:val="22"/>
              </w:rPr>
            </w:pPr>
            <w:r>
              <w:rPr>
                <w:rFonts w:ascii="Verdana" w:hAnsi="Verdana"/>
                <w:sz w:val="22"/>
                <w:szCs w:val="22"/>
              </w:rPr>
              <w:t>19</w:t>
            </w:r>
          </w:p>
        </w:tc>
        <w:tc>
          <w:tcPr>
            <w:tcW w:w="1907" w:type="dxa"/>
            <w:tcBorders>
              <w:top w:val="nil"/>
              <w:bottom w:val="nil"/>
            </w:tcBorders>
            <w:noWrap/>
            <w:hideMark/>
          </w:tcPr>
          <w:p w14:paraId="47D4E357" w14:textId="7722F51D"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4D224A42" w14:textId="13224429" w:rsidR="005522F4" w:rsidRPr="005522F4" w:rsidRDefault="005522F4" w:rsidP="009B745E">
            <w:pPr>
              <w:tabs>
                <w:tab w:val="left" w:pos="467"/>
              </w:tabs>
              <w:jc w:val="center"/>
              <w:rPr>
                <w:rFonts w:ascii="Verdana" w:hAnsi="Verdana"/>
                <w:sz w:val="22"/>
                <w:szCs w:val="22"/>
              </w:rPr>
            </w:pPr>
          </w:p>
        </w:tc>
        <w:tc>
          <w:tcPr>
            <w:tcW w:w="996" w:type="dxa"/>
            <w:tcBorders>
              <w:top w:val="nil"/>
              <w:bottom w:val="nil"/>
            </w:tcBorders>
            <w:noWrap/>
            <w:hideMark/>
          </w:tcPr>
          <w:p w14:paraId="3787B505" w14:textId="4DDC4AA1" w:rsidR="005522F4" w:rsidRPr="005522F4" w:rsidRDefault="005139A2" w:rsidP="009B745E">
            <w:pPr>
              <w:tabs>
                <w:tab w:val="left" w:pos="467"/>
              </w:tabs>
              <w:jc w:val="center"/>
              <w:rPr>
                <w:rFonts w:ascii="Verdana" w:hAnsi="Verdana"/>
                <w:sz w:val="22"/>
                <w:szCs w:val="22"/>
              </w:rPr>
            </w:pPr>
            <w:r>
              <w:rPr>
                <w:rFonts w:ascii="Verdana" w:hAnsi="Verdana"/>
                <w:sz w:val="22"/>
                <w:szCs w:val="22"/>
              </w:rPr>
              <w:t>10</w:t>
            </w:r>
          </w:p>
        </w:tc>
        <w:tc>
          <w:tcPr>
            <w:tcW w:w="1359" w:type="dxa"/>
            <w:tcBorders>
              <w:top w:val="nil"/>
              <w:bottom w:val="nil"/>
              <w:right w:val="nil"/>
            </w:tcBorders>
            <w:noWrap/>
            <w:hideMark/>
          </w:tcPr>
          <w:p w14:paraId="6C3861FF" w14:textId="1727D3CA" w:rsidR="005522F4" w:rsidRPr="005522F4" w:rsidRDefault="005139A2" w:rsidP="009B745E">
            <w:pPr>
              <w:tabs>
                <w:tab w:val="left" w:pos="467"/>
              </w:tabs>
              <w:jc w:val="center"/>
              <w:rPr>
                <w:rFonts w:ascii="Verdana" w:hAnsi="Verdana"/>
                <w:sz w:val="22"/>
                <w:szCs w:val="22"/>
              </w:rPr>
            </w:pPr>
            <w:r>
              <w:rPr>
                <w:rFonts w:ascii="Verdana" w:hAnsi="Verdana"/>
                <w:sz w:val="22"/>
                <w:szCs w:val="22"/>
              </w:rPr>
              <w:t>9</w:t>
            </w:r>
          </w:p>
        </w:tc>
      </w:tr>
      <w:tr w:rsidR="005522F4" w:rsidRPr="005522F4" w14:paraId="39F46024" w14:textId="77777777" w:rsidTr="009B745E">
        <w:trPr>
          <w:trHeight w:val="300"/>
        </w:trPr>
        <w:tc>
          <w:tcPr>
            <w:tcW w:w="4109" w:type="dxa"/>
            <w:tcBorders>
              <w:top w:val="nil"/>
              <w:left w:val="nil"/>
              <w:bottom w:val="nil"/>
            </w:tcBorders>
            <w:noWrap/>
            <w:hideMark/>
          </w:tcPr>
          <w:p w14:paraId="0B4E4C12" w14:textId="4C36A9F4" w:rsidR="005522F4" w:rsidRPr="005522F4" w:rsidRDefault="005139A2" w:rsidP="005522F4">
            <w:pPr>
              <w:tabs>
                <w:tab w:val="left" w:pos="467"/>
              </w:tabs>
              <w:rPr>
                <w:rFonts w:ascii="Verdana" w:hAnsi="Verdana"/>
                <w:sz w:val="22"/>
                <w:szCs w:val="22"/>
              </w:rPr>
            </w:pPr>
            <w:r>
              <w:rPr>
                <w:rFonts w:ascii="Verdana" w:hAnsi="Verdana"/>
                <w:sz w:val="22"/>
                <w:szCs w:val="22"/>
              </w:rPr>
              <w:t>Clifton Parish Houses</w:t>
            </w:r>
          </w:p>
        </w:tc>
        <w:tc>
          <w:tcPr>
            <w:tcW w:w="1078" w:type="dxa"/>
            <w:tcBorders>
              <w:top w:val="nil"/>
              <w:bottom w:val="nil"/>
            </w:tcBorders>
          </w:tcPr>
          <w:p w14:paraId="55C8F4C0" w14:textId="27BA8F1E" w:rsidR="005522F4" w:rsidRPr="005522F4" w:rsidRDefault="005139A2" w:rsidP="009B745E">
            <w:pPr>
              <w:tabs>
                <w:tab w:val="left" w:pos="467"/>
              </w:tabs>
              <w:jc w:val="center"/>
              <w:rPr>
                <w:rFonts w:ascii="Verdana" w:hAnsi="Verdana"/>
                <w:sz w:val="22"/>
                <w:szCs w:val="22"/>
              </w:rPr>
            </w:pPr>
            <w:r>
              <w:rPr>
                <w:rFonts w:ascii="Verdana" w:hAnsi="Verdana"/>
                <w:sz w:val="22"/>
                <w:szCs w:val="22"/>
              </w:rPr>
              <w:t>16</w:t>
            </w:r>
          </w:p>
        </w:tc>
        <w:tc>
          <w:tcPr>
            <w:tcW w:w="1907" w:type="dxa"/>
            <w:tcBorders>
              <w:top w:val="nil"/>
              <w:bottom w:val="nil"/>
            </w:tcBorders>
            <w:noWrap/>
            <w:hideMark/>
          </w:tcPr>
          <w:p w14:paraId="19625C05"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6D70DF5D" w14:textId="3B1137A8" w:rsidR="005522F4" w:rsidRPr="005522F4" w:rsidRDefault="005522F4" w:rsidP="009B745E">
            <w:pPr>
              <w:tabs>
                <w:tab w:val="left" w:pos="467"/>
              </w:tabs>
              <w:jc w:val="center"/>
              <w:rPr>
                <w:rFonts w:ascii="Verdana" w:hAnsi="Verdana"/>
                <w:sz w:val="22"/>
                <w:szCs w:val="22"/>
              </w:rPr>
            </w:pPr>
          </w:p>
        </w:tc>
        <w:tc>
          <w:tcPr>
            <w:tcW w:w="996" w:type="dxa"/>
            <w:tcBorders>
              <w:top w:val="nil"/>
              <w:bottom w:val="nil"/>
            </w:tcBorders>
            <w:noWrap/>
            <w:hideMark/>
          </w:tcPr>
          <w:p w14:paraId="1E35F1CA" w14:textId="559267F3" w:rsidR="005522F4" w:rsidRPr="005522F4" w:rsidRDefault="005139A2" w:rsidP="009B745E">
            <w:pPr>
              <w:tabs>
                <w:tab w:val="left" w:pos="467"/>
              </w:tabs>
              <w:jc w:val="center"/>
              <w:rPr>
                <w:rFonts w:ascii="Verdana" w:hAnsi="Verdana"/>
                <w:sz w:val="22"/>
                <w:szCs w:val="22"/>
              </w:rPr>
            </w:pPr>
            <w:r>
              <w:rPr>
                <w:rFonts w:ascii="Verdana" w:hAnsi="Verdana"/>
                <w:sz w:val="22"/>
                <w:szCs w:val="22"/>
              </w:rPr>
              <w:t>16</w:t>
            </w:r>
          </w:p>
        </w:tc>
        <w:tc>
          <w:tcPr>
            <w:tcW w:w="1359" w:type="dxa"/>
            <w:tcBorders>
              <w:top w:val="nil"/>
              <w:bottom w:val="nil"/>
              <w:right w:val="nil"/>
            </w:tcBorders>
            <w:noWrap/>
            <w:hideMark/>
          </w:tcPr>
          <w:p w14:paraId="1689A7BB" w14:textId="6CAAB81B" w:rsidR="005522F4" w:rsidRPr="005522F4" w:rsidRDefault="005522F4" w:rsidP="009B745E">
            <w:pPr>
              <w:tabs>
                <w:tab w:val="left" w:pos="467"/>
              </w:tabs>
              <w:jc w:val="center"/>
              <w:rPr>
                <w:rFonts w:ascii="Verdana" w:hAnsi="Verdana"/>
                <w:sz w:val="22"/>
                <w:szCs w:val="22"/>
              </w:rPr>
            </w:pPr>
          </w:p>
        </w:tc>
      </w:tr>
      <w:tr w:rsidR="005522F4" w:rsidRPr="005522F4" w14:paraId="4F940159" w14:textId="77777777" w:rsidTr="009B745E">
        <w:trPr>
          <w:trHeight w:val="300"/>
        </w:trPr>
        <w:tc>
          <w:tcPr>
            <w:tcW w:w="4109" w:type="dxa"/>
            <w:tcBorders>
              <w:top w:val="nil"/>
              <w:left w:val="nil"/>
              <w:bottom w:val="nil"/>
            </w:tcBorders>
            <w:noWrap/>
            <w:hideMark/>
          </w:tcPr>
          <w:p w14:paraId="159915B4" w14:textId="77777777" w:rsidR="005522F4" w:rsidRPr="005522F4" w:rsidRDefault="005522F4" w:rsidP="005522F4">
            <w:pPr>
              <w:tabs>
                <w:tab w:val="left" w:pos="467"/>
              </w:tabs>
              <w:rPr>
                <w:rFonts w:ascii="Verdana" w:hAnsi="Verdana"/>
                <w:sz w:val="22"/>
                <w:szCs w:val="22"/>
              </w:rPr>
            </w:pPr>
            <w:r w:rsidRPr="005522F4">
              <w:rPr>
                <w:rFonts w:ascii="Verdana" w:hAnsi="Verdana"/>
                <w:sz w:val="22"/>
                <w:szCs w:val="22"/>
              </w:rPr>
              <w:t>Reside Housing Association</w:t>
            </w:r>
          </w:p>
        </w:tc>
        <w:tc>
          <w:tcPr>
            <w:tcW w:w="1078" w:type="dxa"/>
            <w:tcBorders>
              <w:top w:val="nil"/>
              <w:bottom w:val="nil"/>
            </w:tcBorders>
          </w:tcPr>
          <w:p w14:paraId="2CE2647F" w14:textId="38F65995"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1</w:t>
            </w:r>
            <w:r w:rsidR="005139A2">
              <w:rPr>
                <w:rFonts w:ascii="Verdana" w:hAnsi="Verdana"/>
                <w:sz w:val="22"/>
                <w:szCs w:val="22"/>
              </w:rPr>
              <w:t>4</w:t>
            </w:r>
          </w:p>
        </w:tc>
        <w:tc>
          <w:tcPr>
            <w:tcW w:w="1907" w:type="dxa"/>
            <w:tcBorders>
              <w:top w:val="nil"/>
              <w:bottom w:val="nil"/>
            </w:tcBorders>
            <w:noWrap/>
            <w:hideMark/>
          </w:tcPr>
          <w:p w14:paraId="04362845"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2CB38129"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13</w:t>
            </w:r>
          </w:p>
        </w:tc>
        <w:tc>
          <w:tcPr>
            <w:tcW w:w="996" w:type="dxa"/>
            <w:tcBorders>
              <w:top w:val="nil"/>
              <w:bottom w:val="nil"/>
            </w:tcBorders>
            <w:noWrap/>
            <w:hideMark/>
          </w:tcPr>
          <w:p w14:paraId="7D6ECE2B" w14:textId="77777777" w:rsidR="005522F4" w:rsidRPr="005522F4" w:rsidRDefault="005522F4" w:rsidP="009B745E">
            <w:pPr>
              <w:tabs>
                <w:tab w:val="left" w:pos="467"/>
              </w:tabs>
              <w:jc w:val="center"/>
              <w:rPr>
                <w:rFonts w:ascii="Verdana" w:hAnsi="Verdana"/>
                <w:sz w:val="22"/>
                <w:szCs w:val="22"/>
              </w:rPr>
            </w:pPr>
          </w:p>
        </w:tc>
        <w:tc>
          <w:tcPr>
            <w:tcW w:w="1359" w:type="dxa"/>
            <w:tcBorders>
              <w:top w:val="nil"/>
              <w:bottom w:val="nil"/>
              <w:right w:val="nil"/>
            </w:tcBorders>
            <w:noWrap/>
            <w:hideMark/>
          </w:tcPr>
          <w:p w14:paraId="1EE84461" w14:textId="30C52A63" w:rsidR="005522F4" w:rsidRPr="005522F4" w:rsidRDefault="005139A2" w:rsidP="009B745E">
            <w:pPr>
              <w:tabs>
                <w:tab w:val="left" w:pos="467"/>
              </w:tabs>
              <w:jc w:val="center"/>
              <w:rPr>
                <w:rFonts w:ascii="Verdana" w:hAnsi="Verdana"/>
                <w:sz w:val="22"/>
                <w:szCs w:val="22"/>
              </w:rPr>
            </w:pPr>
            <w:r>
              <w:rPr>
                <w:rFonts w:ascii="Verdana" w:hAnsi="Verdana"/>
                <w:sz w:val="22"/>
                <w:szCs w:val="22"/>
              </w:rPr>
              <w:t>1</w:t>
            </w:r>
          </w:p>
        </w:tc>
      </w:tr>
      <w:tr w:rsidR="005522F4" w:rsidRPr="005522F4" w14:paraId="04B120B9" w14:textId="77777777" w:rsidTr="009B745E">
        <w:trPr>
          <w:trHeight w:val="300"/>
        </w:trPr>
        <w:tc>
          <w:tcPr>
            <w:tcW w:w="4109" w:type="dxa"/>
            <w:tcBorders>
              <w:top w:val="nil"/>
              <w:left w:val="nil"/>
              <w:bottom w:val="nil"/>
            </w:tcBorders>
            <w:noWrap/>
            <w:hideMark/>
          </w:tcPr>
          <w:p w14:paraId="4975D88D" w14:textId="053152CA" w:rsidR="005522F4" w:rsidRPr="005522F4" w:rsidRDefault="005522F4" w:rsidP="005522F4">
            <w:pPr>
              <w:tabs>
                <w:tab w:val="left" w:pos="467"/>
              </w:tabs>
              <w:rPr>
                <w:rFonts w:ascii="Verdana" w:hAnsi="Verdana"/>
                <w:sz w:val="22"/>
                <w:szCs w:val="22"/>
              </w:rPr>
            </w:pPr>
            <w:r w:rsidRPr="005522F4">
              <w:rPr>
                <w:rFonts w:ascii="Verdana" w:hAnsi="Verdana"/>
                <w:sz w:val="22"/>
                <w:szCs w:val="22"/>
              </w:rPr>
              <w:t>The Guinness Partnership</w:t>
            </w:r>
            <w:r w:rsidR="005139A2">
              <w:rPr>
                <w:rFonts w:ascii="Verdana" w:hAnsi="Verdana"/>
                <w:sz w:val="22"/>
                <w:szCs w:val="22"/>
              </w:rPr>
              <w:t xml:space="preserve"> Limited</w:t>
            </w:r>
          </w:p>
        </w:tc>
        <w:tc>
          <w:tcPr>
            <w:tcW w:w="1078" w:type="dxa"/>
            <w:tcBorders>
              <w:top w:val="nil"/>
              <w:bottom w:val="nil"/>
            </w:tcBorders>
          </w:tcPr>
          <w:p w14:paraId="490170BD"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13</w:t>
            </w:r>
          </w:p>
        </w:tc>
        <w:tc>
          <w:tcPr>
            <w:tcW w:w="1907" w:type="dxa"/>
            <w:tcBorders>
              <w:top w:val="nil"/>
              <w:bottom w:val="nil"/>
            </w:tcBorders>
            <w:noWrap/>
            <w:hideMark/>
          </w:tcPr>
          <w:p w14:paraId="574EE27E"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0853E1D4" w14:textId="77777777" w:rsidR="005522F4" w:rsidRPr="005522F4" w:rsidRDefault="005522F4" w:rsidP="009B745E">
            <w:pPr>
              <w:tabs>
                <w:tab w:val="left" w:pos="467"/>
              </w:tabs>
              <w:jc w:val="center"/>
              <w:rPr>
                <w:rFonts w:ascii="Verdana" w:hAnsi="Verdana"/>
                <w:sz w:val="22"/>
                <w:szCs w:val="22"/>
              </w:rPr>
            </w:pPr>
          </w:p>
        </w:tc>
        <w:tc>
          <w:tcPr>
            <w:tcW w:w="996" w:type="dxa"/>
            <w:tcBorders>
              <w:top w:val="nil"/>
              <w:bottom w:val="nil"/>
            </w:tcBorders>
            <w:noWrap/>
            <w:hideMark/>
          </w:tcPr>
          <w:p w14:paraId="150B44A1"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13</w:t>
            </w:r>
          </w:p>
        </w:tc>
        <w:tc>
          <w:tcPr>
            <w:tcW w:w="1359" w:type="dxa"/>
            <w:tcBorders>
              <w:top w:val="nil"/>
              <w:bottom w:val="nil"/>
              <w:right w:val="nil"/>
            </w:tcBorders>
            <w:noWrap/>
            <w:hideMark/>
          </w:tcPr>
          <w:p w14:paraId="6C549A52" w14:textId="77777777" w:rsidR="005522F4" w:rsidRPr="005522F4" w:rsidRDefault="005522F4" w:rsidP="009B745E">
            <w:pPr>
              <w:tabs>
                <w:tab w:val="left" w:pos="467"/>
              </w:tabs>
              <w:jc w:val="center"/>
              <w:rPr>
                <w:rFonts w:ascii="Verdana" w:hAnsi="Verdana"/>
                <w:sz w:val="22"/>
                <w:szCs w:val="22"/>
              </w:rPr>
            </w:pPr>
          </w:p>
        </w:tc>
      </w:tr>
      <w:tr w:rsidR="005522F4" w:rsidRPr="005522F4" w14:paraId="7212D866" w14:textId="77777777" w:rsidTr="009B745E">
        <w:trPr>
          <w:trHeight w:val="300"/>
        </w:trPr>
        <w:tc>
          <w:tcPr>
            <w:tcW w:w="4109" w:type="dxa"/>
            <w:tcBorders>
              <w:top w:val="nil"/>
              <w:left w:val="nil"/>
              <w:bottom w:val="nil"/>
            </w:tcBorders>
            <w:noWrap/>
            <w:hideMark/>
          </w:tcPr>
          <w:p w14:paraId="3066BDC2" w14:textId="77777777" w:rsidR="005522F4" w:rsidRPr="005522F4" w:rsidRDefault="005522F4" w:rsidP="005522F4">
            <w:pPr>
              <w:tabs>
                <w:tab w:val="left" w:pos="467"/>
              </w:tabs>
              <w:rPr>
                <w:rFonts w:ascii="Verdana" w:hAnsi="Verdana"/>
                <w:sz w:val="22"/>
                <w:szCs w:val="22"/>
              </w:rPr>
            </w:pPr>
            <w:r w:rsidRPr="005522F4">
              <w:rPr>
                <w:rFonts w:ascii="Verdana" w:hAnsi="Verdana"/>
                <w:sz w:val="22"/>
                <w:szCs w:val="22"/>
              </w:rPr>
              <w:t>Butlin and Elborow Housing Trust</w:t>
            </w:r>
          </w:p>
        </w:tc>
        <w:tc>
          <w:tcPr>
            <w:tcW w:w="1078" w:type="dxa"/>
            <w:tcBorders>
              <w:top w:val="nil"/>
              <w:bottom w:val="nil"/>
            </w:tcBorders>
          </w:tcPr>
          <w:p w14:paraId="708A7851"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12</w:t>
            </w:r>
          </w:p>
        </w:tc>
        <w:tc>
          <w:tcPr>
            <w:tcW w:w="1907" w:type="dxa"/>
            <w:tcBorders>
              <w:top w:val="nil"/>
              <w:bottom w:val="nil"/>
            </w:tcBorders>
            <w:noWrap/>
            <w:hideMark/>
          </w:tcPr>
          <w:p w14:paraId="0B36A826"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4ADD82DC" w14:textId="77777777" w:rsidR="005522F4" w:rsidRPr="005522F4" w:rsidRDefault="005522F4" w:rsidP="009B745E">
            <w:pPr>
              <w:tabs>
                <w:tab w:val="left" w:pos="467"/>
              </w:tabs>
              <w:jc w:val="center"/>
              <w:rPr>
                <w:rFonts w:ascii="Verdana" w:hAnsi="Verdana"/>
                <w:sz w:val="22"/>
                <w:szCs w:val="22"/>
              </w:rPr>
            </w:pPr>
          </w:p>
        </w:tc>
        <w:tc>
          <w:tcPr>
            <w:tcW w:w="996" w:type="dxa"/>
            <w:tcBorders>
              <w:top w:val="nil"/>
              <w:bottom w:val="nil"/>
            </w:tcBorders>
            <w:noWrap/>
            <w:hideMark/>
          </w:tcPr>
          <w:p w14:paraId="2EF20F95"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12</w:t>
            </w:r>
          </w:p>
        </w:tc>
        <w:tc>
          <w:tcPr>
            <w:tcW w:w="1359" w:type="dxa"/>
            <w:tcBorders>
              <w:top w:val="nil"/>
              <w:bottom w:val="nil"/>
              <w:right w:val="nil"/>
            </w:tcBorders>
            <w:noWrap/>
            <w:hideMark/>
          </w:tcPr>
          <w:p w14:paraId="174CA2EB" w14:textId="77777777" w:rsidR="005522F4" w:rsidRPr="005522F4" w:rsidRDefault="005522F4" w:rsidP="009B745E">
            <w:pPr>
              <w:tabs>
                <w:tab w:val="left" w:pos="467"/>
              </w:tabs>
              <w:jc w:val="center"/>
              <w:rPr>
                <w:rFonts w:ascii="Verdana" w:hAnsi="Verdana"/>
                <w:sz w:val="22"/>
                <w:szCs w:val="22"/>
              </w:rPr>
            </w:pPr>
          </w:p>
        </w:tc>
      </w:tr>
      <w:tr w:rsidR="005139A2" w:rsidRPr="005139A2" w14:paraId="060BC9B1" w14:textId="77777777" w:rsidTr="009B745E">
        <w:trPr>
          <w:trHeight w:val="300"/>
        </w:trPr>
        <w:tc>
          <w:tcPr>
            <w:tcW w:w="4109" w:type="dxa"/>
            <w:tcBorders>
              <w:top w:val="nil"/>
              <w:left w:val="nil"/>
              <w:bottom w:val="nil"/>
            </w:tcBorders>
            <w:noWrap/>
          </w:tcPr>
          <w:p w14:paraId="7552892D" w14:textId="272955B5" w:rsidR="005139A2" w:rsidRPr="005139A2" w:rsidRDefault="005139A2" w:rsidP="005139A2">
            <w:pPr>
              <w:tabs>
                <w:tab w:val="left" w:pos="467"/>
              </w:tabs>
              <w:rPr>
                <w:rFonts w:ascii="Verdana" w:hAnsi="Verdana"/>
                <w:sz w:val="22"/>
                <w:szCs w:val="22"/>
              </w:rPr>
            </w:pPr>
            <w:r w:rsidRPr="005139A2">
              <w:rPr>
                <w:rFonts w:ascii="Verdana" w:hAnsi="Verdana"/>
                <w:sz w:val="22"/>
                <w:szCs w:val="22"/>
              </w:rPr>
              <w:t>Dimensions (UK)</w:t>
            </w:r>
          </w:p>
        </w:tc>
        <w:tc>
          <w:tcPr>
            <w:tcW w:w="1078" w:type="dxa"/>
            <w:tcBorders>
              <w:top w:val="nil"/>
              <w:bottom w:val="nil"/>
            </w:tcBorders>
          </w:tcPr>
          <w:p w14:paraId="7A6573A9" w14:textId="1C5FB937" w:rsidR="005139A2" w:rsidRPr="005139A2" w:rsidRDefault="005139A2" w:rsidP="009B745E">
            <w:pPr>
              <w:tabs>
                <w:tab w:val="left" w:pos="467"/>
              </w:tabs>
              <w:jc w:val="center"/>
              <w:rPr>
                <w:rFonts w:ascii="Verdana" w:hAnsi="Verdana"/>
                <w:sz w:val="22"/>
                <w:szCs w:val="22"/>
              </w:rPr>
            </w:pPr>
            <w:r>
              <w:rPr>
                <w:rFonts w:ascii="Verdana" w:hAnsi="Verdana"/>
                <w:sz w:val="22"/>
                <w:szCs w:val="22"/>
              </w:rPr>
              <w:t>11</w:t>
            </w:r>
          </w:p>
        </w:tc>
        <w:tc>
          <w:tcPr>
            <w:tcW w:w="1907" w:type="dxa"/>
            <w:tcBorders>
              <w:top w:val="nil"/>
              <w:bottom w:val="nil"/>
            </w:tcBorders>
            <w:noWrap/>
          </w:tcPr>
          <w:p w14:paraId="21132564" w14:textId="1F513226" w:rsidR="005139A2" w:rsidRPr="005139A2" w:rsidRDefault="005139A2" w:rsidP="009B745E">
            <w:pPr>
              <w:tabs>
                <w:tab w:val="left" w:pos="467"/>
              </w:tabs>
              <w:jc w:val="center"/>
              <w:rPr>
                <w:rFonts w:ascii="Verdana" w:hAnsi="Verdana"/>
                <w:sz w:val="22"/>
                <w:szCs w:val="22"/>
              </w:rPr>
            </w:pPr>
            <w:r>
              <w:rPr>
                <w:rFonts w:ascii="Verdana" w:hAnsi="Verdana"/>
                <w:sz w:val="22"/>
                <w:szCs w:val="22"/>
              </w:rPr>
              <w:t>6</w:t>
            </w:r>
          </w:p>
        </w:tc>
        <w:tc>
          <w:tcPr>
            <w:tcW w:w="1457" w:type="dxa"/>
            <w:tcBorders>
              <w:top w:val="nil"/>
              <w:bottom w:val="nil"/>
            </w:tcBorders>
            <w:noWrap/>
          </w:tcPr>
          <w:p w14:paraId="768E1EB4" w14:textId="77777777" w:rsidR="005139A2" w:rsidRPr="005139A2" w:rsidRDefault="005139A2" w:rsidP="009B745E">
            <w:pPr>
              <w:tabs>
                <w:tab w:val="left" w:pos="467"/>
              </w:tabs>
              <w:jc w:val="center"/>
              <w:rPr>
                <w:rFonts w:ascii="Verdana" w:hAnsi="Verdana"/>
                <w:sz w:val="22"/>
                <w:szCs w:val="22"/>
              </w:rPr>
            </w:pPr>
          </w:p>
        </w:tc>
        <w:tc>
          <w:tcPr>
            <w:tcW w:w="996" w:type="dxa"/>
            <w:tcBorders>
              <w:top w:val="nil"/>
              <w:bottom w:val="nil"/>
            </w:tcBorders>
            <w:noWrap/>
          </w:tcPr>
          <w:p w14:paraId="453CD421" w14:textId="77777777" w:rsidR="005139A2" w:rsidRPr="005139A2" w:rsidRDefault="005139A2" w:rsidP="009B745E">
            <w:pPr>
              <w:tabs>
                <w:tab w:val="left" w:pos="467"/>
              </w:tabs>
              <w:jc w:val="center"/>
              <w:rPr>
                <w:rFonts w:ascii="Verdana" w:hAnsi="Verdana"/>
                <w:sz w:val="22"/>
                <w:szCs w:val="22"/>
              </w:rPr>
            </w:pPr>
          </w:p>
        </w:tc>
        <w:tc>
          <w:tcPr>
            <w:tcW w:w="1359" w:type="dxa"/>
            <w:tcBorders>
              <w:top w:val="nil"/>
              <w:bottom w:val="nil"/>
              <w:right w:val="nil"/>
            </w:tcBorders>
            <w:noWrap/>
          </w:tcPr>
          <w:p w14:paraId="49A2CFD4" w14:textId="10F722E4" w:rsidR="005139A2" w:rsidRPr="005139A2" w:rsidRDefault="005139A2" w:rsidP="009B745E">
            <w:pPr>
              <w:tabs>
                <w:tab w:val="left" w:pos="467"/>
              </w:tabs>
              <w:jc w:val="center"/>
              <w:rPr>
                <w:rFonts w:ascii="Verdana" w:hAnsi="Verdana"/>
                <w:sz w:val="22"/>
                <w:szCs w:val="22"/>
              </w:rPr>
            </w:pPr>
            <w:r w:rsidRPr="005139A2">
              <w:rPr>
                <w:rFonts w:ascii="Verdana" w:hAnsi="Verdana"/>
                <w:sz w:val="22"/>
                <w:szCs w:val="22"/>
              </w:rPr>
              <w:t>5</w:t>
            </w:r>
          </w:p>
        </w:tc>
      </w:tr>
      <w:tr w:rsidR="005139A2" w:rsidRPr="005139A2" w14:paraId="419B8A6E" w14:textId="77777777" w:rsidTr="009B745E">
        <w:trPr>
          <w:trHeight w:val="300"/>
        </w:trPr>
        <w:tc>
          <w:tcPr>
            <w:tcW w:w="4109" w:type="dxa"/>
            <w:tcBorders>
              <w:top w:val="nil"/>
              <w:left w:val="nil"/>
              <w:bottom w:val="nil"/>
            </w:tcBorders>
            <w:noWrap/>
          </w:tcPr>
          <w:p w14:paraId="5C2AEB41" w14:textId="1C186A55" w:rsidR="005139A2" w:rsidRPr="005139A2" w:rsidRDefault="005139A2" w:rsidP="005139A2">
            <w:pPr>
              <w:tabs>
                <w:tab w:val="left" w:pos="467"/>
              </w:tabs>
              <w:rPr>
                <w:rFonts w:ascii="Verdana" w:hAnsi="Verdana"/>
                <w:sz w:val="22"/>
                <w:szCs w:val="22"/>
              </w:rPr>
            </w:pPr>
            <w:r w:rsidRPr="005139A2">
              <w:rPr>
                <w:rFonts w:ascii="Verdana" w:hAnsi="Verdana"/>
                <w:sz w:val="22"/>
                <w:szCs w:val="22"/>
              </w:rPr>
              <w:t>Trent &amp; Dove Housing</w:t>
            </w:r>
          </w:p>
        </w:tc>
        <w:tc>
          <w:tcPr>
            <w:tcW w:w="1078" w:type="dxa"/>
            <w:tcBorders>
              <w:top w:val="nil"/>
              <w:bottom w:val="nil"/>
            </w:tcBorders>
          </w:tcPr>
          <w:p w14:paraId="758FF0FB" w14:textId="6FB3FF78" w:rsidR="005139A2" w:rsidRPr="005139A2" w:rsidRDefault="005139A2" w:rsidP="009B745E">
            <w:pPr>
              <w:tabs>
                <w:tab w:val="left" w:pos="467"/>
              </w:tabs>
              <w:jc w:val="center"/>
              <w:rPr>
                <w:rFonts w:ascii="Verdana" w:hAnsi="Verdana"/>
                <w:sz w:val="22"/>
                <w:szCs w:val="22"/>
              </w:rPr>
            </w:pPr>
            <w:r w:rsidRPr="005139A2">
              <w:rPr>
                <w:rFonts w:ascii="Verdana" w:hAnsi="Verdana"/>
                <w:sz w:val="22"/>
                <w:szCs w:val="22"/>
              </w:rPr>
              <w:t>11</w:t>
            </w:r>
          </w:p>
        </w:tc>
        <w:tc>
          <w:tcPr>
            <w:tcW w:w="1907" w:type="dxa"/>
            <w:tcBorders>
              <w:top w:val="nil"/>
              <w:bottom w:val="nil"/>
            </w:tcBorders>
            <w:noWrap/>
          </w:tcPr>
          <w:p w14:paraId="2E1CBB41" w14:textId="675C7F19" w:rsidR="005139A2" w:rsidRPr="005139A2" w:rsidRDefault="005139A2" w:rsidP="009B745E">
            <w:pPr>
              <w:tabs>
                <w:tab w:val="left" w:pos="467"/>
              </w:tabs>
              <w:jc w:val="center"/>
              <w:rPr>
                <w:rFonts w:ascii="Verdana" w:hAnsi="Verdana"/>
                <w:sz w:val="22"/>
                <w:szCs w:val="22"/>
              </w:rPr>
            </w:pPr>
            <w:r w:rsidRPr="005139A2">
              <w:rPr>
                <w:rFonts w:ascii="Verdana" w:hAnsi="Verdana"/>
                <w:sz w:val="22"/>
                <w:szCs w:val="22"/>
              </w:rPr>
              <w:t>11</w:t>
            </w:r>
          </w:p>
        </w:tc>
        <w:tc>
          <w:tcPr>
            <w:tcW w:w="1457" w:type="dxa"/>
            <w:tcBorders>
              <w:top w:val="nil"/>
              <w:bottom w:val="nil"/>
            </w:tcBorders>
            <w:noWrap/>
          </w:tcPr>
          <w:p w14:paraId="1F488003" w14:textId="77777777" w:rsidR="005139A2" w:rsidRPr="005139A2" w:rsidRDefault="005139A2" w:rsidP="009B745E">
            <w:pPr>
              <w:tabs>
                <w:tab w:val="left" w:pos="467"/>
              </w:tabs>
              <w:jc w:val="center"/>
              <w:rPr>
                <w:rFonts w:ascii="Verdana" w:hAnsi="Verdana"/>
                <w:sz w:val="22"/>
                <w:szCs w:val="22"/>
              </w:rPr>
            </w:pPr>
          </w:p>
        </w:tc>
        <w:tc>
          <w:tcPr>
            <w:tcW w:w="996" w:type="dxa"/>
            <w:tcBorders>
              <w:top w:val="nil"/>
              <w:bottom w:val="nil"/>
            </w:tcBorders>
            <w:noWrap/>
          </w:tcPr>
          <w:p w14:paraId="3B63ACEF" w14:textId="77777777" w:rsidR="005139A2" w:rsidRPr="005139A2" w:rsidRDefault="005139A2" w:rsidP="009B745E">
            <w:pPr>
              <w:tabs>
                <w:tab w:val="left" w:pos="467"/>
              </w:tabs>
              <w:jc w:val="center"/>
              <w:rPr>
                <w:rFonts w:ascii="Verdana" w:hAnsi="Verdana"/>
                <w:sz w:val="22"/>
                <w:szCs w:val="22"/>
              </w:rPr>
            </w:pPr>
          </w:p>
        </w:tc>
        <w:tc>
          <w:tcPr>
            <w:tcW w:w="1359" w:type="dxa"/>
            <w:tcBorders>
              <w:top w:val="nil"/>
              <w:bottom w:val="nil"/>
              <w:right w:val="nil"/>
            </w:tcBorders>
            <w:noWrap/>
          </w:tcPr>
          <w:p w14:paraId="79EE2F5A" w14:textId="77777777" w:rsidR="005139A2" w:rsidRPr="005139A2" w:rsidRDefault="005139A2" w:rsidP="009B745E">
            <w:pPr>
              <w:tabs>
                <w:tab w:val="left" w:pos="467"/>
              </w:tabs>
              <w:jc w:val="center"/>
              <w:rPr>
                <w:rFonts w:ascii="Verdana" w:hAnsi="Verdana"/>
                <w:sz w:val="22"/>
                <w:szCs w:val="22"/>
              </w:rPr>
            </w:pPr>
          </w:p>
        </w:tc>
      </w:tr>
      <w:tr w:rsidR="00177C82" w:rsidRPr="005522F4" w14:paraId="008D527E" w14:textId="77777777" w:rsidTr="009B745E">
        <w:trPr>
          <w:trHeight w:val="300"/>
        </w:trPr>
        <w:tc>
          <w:tcPr>
            <w:tcW w:w="4109" w:type="dxa"/>
            <w:tcBorders>
              <w:top w:val="nil"/>
              <w:left w:val="nil"/>
              <w:bottom w:val="nil"/>
              <w:right w:val="single" w:sz="4" w:space="0" w:color="auto"/>
            </w:tcBorders>
            <w:noWrap/>
          </w:tcPr>
          <w:p w14:paraId="5804C8C0" w14:textId="07E6B965" w:rsidR="00177C82" w:rsidRPr="005522F4" w:rsidRDefault="005139A2" w:rsidP="005522F4">
            <w:pPr>
              <w:tabs>
                <w:tab w:val="left" w:pos="467"/>
              </w:tabs>
              <w:rPr>
                <w:rFonts w:ascii="Verdana" w:hAnsi="Verdana"/>
                <w:sz w:val="22"/>
                <w:szCs w:val="22"/>
              </w:rPr>
            </w:pPr>
            <w:r>
              <w:rPr>
                <w:rFonts w:ascii="Verdana" w:hAnsi="Verdana"/>
                <w:sz w:val="22"/>
                <w:szCs w:val="22"/>
              </w:rPr>
              <w:t>Yardley Great Trust</w:t>
            </w:r>
          </w:p>
        </w:tc>
        <w:tc>
          <w:tcPr>
            <w:tcW w:w="1078" w:type="dxa"/>
            <w:tcBorders>
              <w:top w:val="nil"/>
              <w:left w:val="single" w:sz="4" w:space="0" w:color="auto"/>
              <w:bottom w:val="nil"/>
              <w:right w:val="single" w:sz="4" w:space="0" w:color="auto"/>
            </w:tcBorders>
          </w:tcPr>
          <w:p w14:paraId="4A9645CA" w14:textId="25549D74" w:rsidR="00177C82" w:rsidRPr="005522F4" w:rsidRDefault="005139A2" w:rsidP="009B745E">
            <w:pPr>
              <w:tabs>
                <w:tab w:val="left" w:pos="467"/>
              </w:tabs>
              <w:jc w:val="center"/>
              <w:rPr>
                <w:rFonts w:ascii="Verdana" w:hAnsi="Verdana"/>
                <w:sz w:val="22"/>
                <w:szCs w:val="22"/>
              </w:rPr>
            </w:pPr>
            <w:r>
              <w:rPr>
                <w:rFonts w:ascii="Verdana" w:hAnsi="Verdana"/>
                <w:sz w:val="22"/>
                <w:szCs w:val="22"/>
              </w:rPr>
              <w:t>11</w:t>
            </w:r>
          </w:p>
        </w:tc>
        <w:tc>
          <w:tcPr>
            <w:tcW w:w="1907" w:type="dxa"/>
            <w:tcBorders>
              <w:top w:val="nil"/>
              <w:left w:val="single" w:sz="4" w:space="0" w:color="auto"/>
              <w:bottom w:val="nil"/>
              <w:right w:val="single" w:sz="4" w:space="0" w:color="auto"/>
            </w:tcBorders>
            <w:noWrap/>
          </w:tcPr>
          <w:p w14:paraId="020040A3" w14:textId="59AD40DC" w:rsidR="00177C82" w:rsidRPr="005522F4" w:rsidRDefault="005139A2" w:rsidP="009B745E">
            <w:pPr>
              <w:tabs>
                <w:tab w:val="left" w:pos="467"/>
              </w:tabs>
              <w:jc w:val="center"/>
              <w:rPr>
                <w:rFonts w:ascii="Verdana" w:hAnsi="Verdana"/>
                <w:sz w:val="22"/>
                <w:szCs w:val="22"/>
              </w:rPr>
            </w:pPr>
            <w:r>
              <w:rPr>
                <w:rFonts w:ascii="Verdana" w:hAnsi="Verdana"/>
                <w:sz w:val="22"/>
                <w:szCs w:val="22"/>
              </w:rPr>
              <w:t>11</w:t>
            </w:r>
          </w:p>
        </w:tc>
        <w:tc>
          <w:tcPr>
            <w:tcW w:w="1457" w:type="dxa"/>
            <w:tcBorders>
              <w:top w:val="nil"/>
              <w:left w:val="single" w:sz="4" w:space="0" w:color="auto"/>
              <w:bottom w:val="nil"/>
              <w:right w:val="single" w:sz="4" w:space="0" w:color="auto"/>
            </w:tcBorders>
            <w:noWrap/>
          </w:tcPr>
          <w:p w14:paraId="5EBC500E" w14:textId="77777777" w:rsidR="00177C82" w:rsidRPr="005522F4" w:rsidRDefault="00177C82" w:rsidP="009B745E">
            <w:pPr>
              <w:tabs>
                <w:tab w:val="left" w:pos="467"/>
              </w:tabs>
              <w:jc w:val="center"/>
              <w:rPr>
                <w:rFonts w:ascii="Verdana" w:hAnsi="Verdana"/>
                <w:sz w:val="22"/>
                <w:szCs w:val="22"/>
              </w:rPr>
            </w:pPr>
          </w:p>
        </w:tc>
        <w:tc>
          <w:tcPr>
            <w:tcW w:w="996" w:type="dxa"/>
            <w:tcBorders>
              <w:top w:val="nil"/>
              <w:left w:val="single" w:sz="4" w:space="0" w:color="auto"/>
              <w:bottom w:val="nil"/>
              <w:right w:val="single" w:sz="4" w:space="0" w:color="auto"/>
            </w:tcBorders>
            <w:noWrap/>
          </w:tcPr>
          <w:p w14:paraId="795814AF" w14:textId="77777777" w:rsidR="00177C82" w:rsidRPr="005522F4" w:rsidRDefault="00177C82" w:rsidP="009B745E">
            <w:pPr>
              <w:tabs>
                <w:tab w:val="left" w:pos="467"/>
              </w:tabs>
              <w:jc w:val="center"/>
              <w:rPr>
                <w:rFonts w:ascii="Verdana" w:hAnsi="Verdana"/>
                <w:sz w:val="22"/>
                <w:szCs w:val="22"/>
              </w:rPr>
            </w:pPr>
          </w:p>
        </w:tc>
        <w:tc>
          <w:tcPr>
            <w:tcW w:w="1359" w:type="dxa"/>
            <w:tcBorders>
              <w:top w:val="nil"/>
              <w:left w:val="single" w:sz="4" w:space="0" w:color="auto"/>
              <w:bottom w:val="nil"/>
              <w:right w:val="nil"/>
            </w:tcBorders>
            <w:noWrap/>
          </w:tcPr>
          <w:p w14:paraId="431E681F" w14:textId="77777777" w:rsidR="00177C82" w:rsidRPr="005522F4" w:rsidRDefault="00177C82" w:rsidP="009B745E">
            <w:pPr>
              <w:tabs>
                <w:tab w:val="left" w:pos="467"/>
              </w:tabs>
              <w:jc w:val="center"/>
              <w:rPr>
                <w:rFonts w:ascii="Verdana" w:hAnsi="Verdana"/>
                <w:sz w:val="22"/>
                <w:szCs w:val="22"/>
              </w:rPr>
            </w:pPr>
          </w:p>
        </w:tc>
      </w:tr>
      <w:tr w:rsidR="005139A2" w:rsidRPr="005522F4" w14:paraId="031B38DC" w14:textId="77777777" w:rsidTr="009B745E">
        <w:trPr>
          <w:trHeight w:val="300"/>
        </w:trPr>
        <w:tc>
          <w:tcPr>
            <w:tcW w:w="4109" w:type="dxa"/>
            <w:tcBorders>
              <w:top w:val="nil"/>
              <w:left w:val="nil"/>
              <w:bottom w:val="nil"/>
            </w:tcBorders>
            <w:noWrap/>
          </w:tcPr>
          <w:p w14:paraId="2045AD30" w14:textId="24D7078C" w:rsidR="005139A2" w:rsidRPr="005522F4" w:rsidRDefault="005139A2" w:rsidP="005522F4">
            <w:pPr>
              <w:tabs>
                <w:tab w:val="left" w:pos="467"/>
              </w:tabs>
              <w:rPr>
                <w:rFonts w:ascii="Verdana" w:hAnsi="Verdana"/>
                <w:sz w:val="22"/>
                <w:szCs w:val="22"/>
              </w:rPr>
            </w:pPr>
            <w:r>
              <w:rPr>
                <w:rFonts w:ascii="Verdana" w:hAnsi="Verdana"/>
                <w:sz w:val="22"/>
                <w:szCs w:val="22"/>
              </w:rPr>
              <w:t>St Basils</w:t>
            </w:r>
          </w:p>
        </w:tc>
        <w:tc>
          <w:tcPr>
            <w:tcW w:w="1078" w:type="dxa"/>
            <w:tcBorders>
              <w:top w:val="nil"/>
              <w:bottom w:val="nil"/>
            </w:tcBorders>
          </w:tcPr>
          <w:p w14:paraId="2C11BCF1" w14:textId="5C600775" w:rsidR="005139A2" w:rsidRPr="005522F4" w:rsidRDefault="005139A2" w:rsidP="009B745E">
            <w:pPr>
              <w:tabs>
                <w:tab w:val="left" w:pos="467"/>
              </w:tabs>
              <w:jc w:val="center"/>
              <w:rPr>
                <w:rFonts w:ascii="Verdana" w:hAnsi="Verdana"/>
                <w:sz w:val="22"/>
                <w:szCs w:val="22"/>
              </w:rPr>
            </w:pPr>
            <w:r>
              <w:rPr>
                <w:rFonts w:ascii="Verdana" w:hAnsi="Verdana"/>
                <w:sz w:val="22"/>
                <w:szCs w:val="22"/>
              </w:rPr>
              <w:t>10</w:t>
            </w:r>
          </w:p>
        </w:tc>
        <w:tc>
          <w:tcPr>
            <w:tcW w:w="1907" w:type="dxa"/>
            <w:tcBorders>
              <w:top w:val="nil"/>
              <w:bottom w:val="nil"/>
            </w:tcBorders>
            <w:noWrap/>
          </w:tcPr>
          <w:p w14:paraId="3F8A2D5C" w14:textId="77777777" w:rsidR="005139A2" w:rsidRPr="005522F4" w:rsidRDefault="005139A2" w:rsidP="009B745E">
            <w:pPr>
              <w:tabs>
                <w:tab w:val="left" w:pos="467"/>
              </w:tabs>
              <w:jc w:val="center"/>
              <w:rPr>
                <w:rFonts w:ascii="Verdana" w:hAnsi="Verdana"/>
                <w:sz w:val="22"/>
                <w:szCs w:val="22"/>
              </w:rPr>
            </w:pPr>
          </w:p>
        </w:tc>
        <w:tc>
          <w:tcPr>
            <w:tcW w:w="1457" w:type="dxa"/>
            <w:tcBorders>
              <w:top w:val="nil"/>
              <w:bottom w:val="nil"/>
            </w:tcBorders>
            <w:noWrap/>
          </w:tcPr>
          <w:p w14:paraId="32FB0B06" w14:textId="77777777" w:rsidR="005139A2" w:rsidRPr="005522F4" w:rsidRDefault="005139A2" w:rsidP="009B745E">
            <w:pPr>
              <w:tabs>
                <w:tab w:val="left" w:pos="467"/>
              </w:tabs>
              <w:jc w:val="center"/>
              <w:rPr>
                <w:rFonts w:ascii="Verdana" w:hAnsi="Verdana"/>
                <w:sz w:val="22"/>
                <w:szCs w:val="22"/>
              </w:rPr>
            </w:pPr>
          </w:p>
        </w:tc>
        <w:tc>
          <w:tcPr>
            <w:tcW w:w="996" w:type="dxa"/>
            <w:tcBorders>
              <w:top w:val="nil"/>
              <w:bottom w:val="nil"/>
            </w:tcBorders>
            <w:noWrap/>
          </w:tcPr>
          <w:p w14:paraId="63E2AE88" w14:textId="5D4F08B7" w:rsidR="005139A2" w:rsidRPr="005522F4" w:rsidRDefault="005139A2" w:rsidP="009B745E">
            <w:pPr>
              <w:tabs>
                <w:tab w:val="left" w:pos="467"/>
              </w:tabs>
              <w:jc w:val="center"/>
              <w:rPr>
                <w:rFonts w:ascii="Verdana" w:hAnsi="Verdana"/>
                <w:sz w:val="22"/>
                <w:szCs w:val="22"/>
              </w:rPr>
            </w:pPr>
          </w:p>
        </w:tc>
        <w:tc>
          <w:tcPr>
            <w:tcW w:w="1359" w:type="dxa"/>
            <w:tcBorders>
              <w:top w:val="nil"/>
              <w:bottom w:val="nil"/>
              <w:right w:val="nil"/>
            </w:tcBorders>
            <w:noWrap/>
          </w:tcPr>
          <w:p w14:paraId="0A4E90F2" w14:textId="07199135" w:rsidR="005139A2" w:rsidRPr="005522F4" w:rsidRDefault="005139A2" w:rsidP="009B745E">
            <w:pPr>
              <w:tabs>
                <w:tab w:val="left" w:pos="467"/>
              </w:tabs>
              <w:jc w:val="center"/>
              <w:rPr>
                <w:rFonts w:ascii="Verdana" w:hAnsi="Verdana"/>
                <w:sz w:val="22"/>
                <w:szCs w:val="22"/>
              </w:rPr>
            </w:pPr>
            <w:r>
              <w:rPr>
                <w:rFonts w:ascii="Verdana" w:hAnsi="Verdana"/>
                <w:sz w:val="22"/>
                <w:szCs w:val="22"/>
              </w:rPr>
              <w:t>10</w:t>
            </w:r>
          </w:p>
        </w:tc>
      </w:tr>
      <w:tr w:rsidR="005522F4" w:rsidRPr="005522F4" w14:paraId="28218DFC" w14:textId="77777777" w:rsidTr="009B745E">
        <w:trPr>
          <w:trHeight w:val="300"/>
        </w:trPr>
        <w:tc>
          <w:tcPr>
            <w:tcW w:w="4109" w:type="dxa"/>
            <w:tcBorders>
              <w:top w:val="nil"/>
              <w:left w:val="nil"/>
              <w:bottom w:val="nil"/>
            </w:tcBorders>
            <w:noWrap/>
            <w:hideMark/>
          </w:tcPr>
          <w:p w14:paraId="4A08047B" w14:textId="77777777" w:rsidR="005522F4" w:rsidRPr="005522F4" w:rsidRDefault="005522F4" w:rsidP="005522F4">
            <w:pPr>
              <w:tabs>
                <w:tab w:val="left" w:pos="467"/>
              </w:tabs>
              <w:rPr>
                <w:rFonts w:ascii="Verdana" w:hAnsi="Verdana"/>
                <w:sz w:val="22"/>
                <w:szCs w:val="22"/>
              </w:rPr>
            </w:pPr>
            <w:r w:rsidRPr="005522F4">
              <w:rPr>
                <w:rFonts w:ascii="Verdana" w:hAnsi="Verdana"/>
                <w:sz w:val="22"/>
                <w:szCs w:val="22"/>
              </w:rPr>
              <w:t>Trinity Housing Association</w:t>
            </w:r>
          </w:p>
        </w:tc>
        <w:tc>
          <w:tcPr>
            <w:tcW w:w="1078" w:type="dxa"/>
            <w:tcBorders>
              <w:top w:val="nil"/>
              <w:bottom w:val="nil"/>
            </w:tcBorders>
          </w:tcPr>
          <w:p w14:paraId="30A0B6FB"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8</w:t>
            </w:r>
          </w:p>
        </w:tc>
        <w:tc>
          <w:tcPr>
            <w:tcW w:w="1907" w:type="dxa"/>
            <w:tcBorders>
              <w:top w:val="nil"/>
              <w:bottom w:val="nil"/>
            </w:tcBorders>
            <w:noWrap/>
            <w:hideMark/>
          </w:tcPr>
          <w:p w14:paraId="20987BED" w14:textId="77777777" w:rsidR="005522F4" w:rsidRPr="005522F4" w:rsidRDefault="005522F4" w:rsidP="009B745E">
            <w:pPr>
              <w:tabs>
                <w:tab w:val="left" w:pos="467"/>
              </w:tabs>
              <w:jc w:val="center"/>
              <w:rPr>
                <w:rFonts w:ascii="Verdana" w:hAnsi="Verdana"/>
                <w:sz w:val="22"/>
                <w:szCs w:val="22"/>
              </w:rPr>
            </w:pPr>
          </w:p>
        </w:tc>
        <w:tc>
          <w:tcPr>
            <w:tcW w:w="1457" w:type="dxa"/>
            <w:tcBorders>
              <w:top w:val="nil"/>
              <w:bottom w:val="nil"/>
            </w:tcBorders>
            <w:noWrap/>
            <w:hideMark/>
          </w:tcPr>
          <w:p w14:paraId="14D6E42E"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8</w:t>
            </w:r>
          </w:p>
        </w:tc>
        <w:tc>
          <w:tcPr>
            <w:tcW w:w="996" w:type="dxa"/>
            <w:tcBorders>
              <w:top w:val="nil"/>
              <w:bottom w:val="nil"/>
            </w:tcBorders>
            <w:noWrap/>
            <w:hideMark/>
          </w:tcPr>
          <w:p w14:paraId="12FC6B37" w14:textId="77777777" w:rsidR="005522F4" w:rsidRPr="005522F4" w:rsidRDefault="005522F4" w:rsidP="009B745E">
            <w:pPr>
              <w:tabs>
                <w:tab w:val="left" w:pos="467"/>
              </w:tabs>
              <w:jc w:val="center"/>
              <w:rPr>
                <w:rFonts w:ascii="Verdana" w:hAnsi="Verdana"/>
                <w:sz w:val="22"/>
                <w:szCs w:val="22"/>
              </w:rPr>
            </w:pPr>
          </w:p>
        </w:tc>
        <w:tc>
          <w:tcPr>
            <w:tcW w:w="1359" w:type="dxa"/>
            <w:tcBorders>
              <w:top w:val="nil"/>
              <w:bottom w:val="nil"/>
              <w:right w:val="nil"/>
            </w:tcBorders>
            <w:noWrap/>
            <w:hideMark/>
          </w:tcPr>
          <w:p w14:paraId="78A9E0CA" w14:textId="77777777" w:rsidR="005522F4" w:rsidRPr="005522F4" w:rsidRDefault="005522F4" w:rsidP="009B745E">
            <w:pPr>
              <w:tabs>
                <w:tab w:val="left" w:pos="467"/>
              </w:tabs>
              <w:jc w:val="center"/>
              <w:rPr>
                <w:rFonts w:ascii="Verdana" w:hAnsi="Verdana"/>
                <w:sz w:val="22"/>
                <w:szCs w:val="22"/>
              </w:rPr>
            </w:pPr>
          </w:p>
        </w:tc>
      </w:tr>
      <w:tr w:rsidR="005139A2" w:rsidRPr="005522F4" w14:paraId="3BE4650A" w14:textId="77777777" w:rsidTr="009B745E">
        <w:trPr>
          <w:trHeight w:val="300"/>
        </w:trPr>
        <w:tc>
          <w:tcPr>
            <w:tcW w:w="4109" w:type="dxa"/>
            <w:tcBorders>
              <w:top w:val="nil"/>
              <w:left w:val="nil"/>
              <w:bottom w:val="nil"/>
            </w:tcBorders>
            <w:noWrap/>
          </w:tcPr>
          <w:p w14:paraId="54BBD2D2" w14:textId="2CE2A2CA" w:rsidR="005139A2" w:rsidRPr="005522F4" w:rsidRDefault="005139A2" w:rsidP="005522F4">
            <w:pPr>
              <w:tabs>
                <w:tab w:val="left" w:pos="467"/>
              </w:tabs>
              <w:rPr>
                <w:rFonts w:ascii="Verdana" w:hAnsi="Verdana"/>
                <w:sz w:val="22"/>
                <w:szCs w:val="22"/>
              </w:rPr>
            </w:pPr>
            <w:r>
              <w:rPr>
                <w:rFonts w:ascii="Verdana" w:hAnsi="Verdana"/>
                <w:sz w:val="22"/>
                <w:szCs w:val="22"/>
              </w:rPr>
              <w:t>Flint Housing Limited</w:t>
            </w:r>
          </w:p>
        </w:tc>
        <w:tc>
          <w:tcPr>
            <w:tcW w:w="1078" w:type="dxa"/>
            <w:tcBorders>
              <w:top w:val="nil"/>
              <w:bottom w:val="nil"/>
            </w:tcBorders>
          </w:tcPr>
          <w:p w14:paraId="4493A7AB" w14:textId="0D8BF39B" w:rsidR="005139A2" w:rsidRPr="005522F4" w:rsidRDefault="005139A2" w:rsidP="009B745E">
            <w:pPr>
              <w:tabs>
                <w:tab w:val="left" w:pos="467"/>
              </w:tabs>
              <w:jc w:val="center"/>
              <w:rPr>
                <w:rFonts w:ascii="Verdana" w:hAnsi="Verdana"/>
                <w:sz w:val="22"/>
                <w:szCs w:val="22"/>
              </w:rPr>
            </w:pPr>
            <w:r>
              <w:rPr>
                <w:rFonts w:ascii="Verdana" w:hAnsi="Verdana"/>
                <w:sz w:val="22"/>
                <w:szCs w:val="22"/>
              </w:rPr>
              <w:t>7</w:t>
            </w:r>
          </w:p>
        </w:tc>
        <w:tc>
          <w:tcPr>
            <w:tcW w:w="1907" w:type="dxa"/>
            <w:tcBorders>
              <w:top w:val="nil"/>
              <w:bottom w:val="nil"/>
            </w:tcBorders>
            <w:noWrap/>
          </w:tcPr>
          <w:p w14:paraId="6F941BBE" w14:textId="77777777" w:rsidR="005139A2" w:rsidRDefault="005139A2" w:rsidP="009B745E">
            <w:pPr>
              <w:tabs>
                <w:tab w:val="left" w:pos="467"/>
              </w:tabs>
              <w:jc w:val="center"/>
              <w:rPr>
                <w:rFonts w:ascii="Verdana" w:hAnsi="Verdana"/>
                <w:sz w:val="22"/>
                <w:szCs w:val="22"/>
              </w:rPr>
            </w:pPr>
          </w:p>
        </w:tc>
        <w:tc>
          <w:tcPr>
            <w:tcW w:w="1457" w:type="dxa"/>
            <w:tcBorders>
              <w:top w:val="nil"/>
              <w:bottom w:val="nil"/>
            </w:tcBorders>
            <w:noWrap/>
          </w:tcPr>
          <w:p w14:paraId="1FF932F3" w14:textId="4D0D3B14" w:rsidR="005139A2" w:rsidRPr="005522F4" w:rsidRDefault="005139A2" w:rsidP="009B745E">
            <w:pPr>
              <w:tabs>
                <w:tab w:val="left" w:pos="467"/>
              </w:tabs>
              <w:jc w:val="center"/>
              <w:rPr>
                <w:rFonts w:ascii="Verdana" w:hAnsi="Verdana"/>
                <w:sz w:val="22"/>
                <w:szCs w:val="22"/>
              </w:rPr>
            </w:pPr>
            <w:r>
              <w:rPr>
                <w:rFonts w:ascii="Verdana" w:hAnsi="Verdana"/>
                <w:sz w:val="22"/>
                <w:szCs w:val="22"/>
              </w:rPr>
              <w:t>7</w:t>
            </w:r>
          </w:p>
        </w:tc>
        <w:tc>
          <w:tcPr>
            <w:tcW w:w="996" w:type="dxa"/>
            <w:tcBorders>
              <w:top w:val="nil"/>
              <w:bottom w:val="nil"/>
            </w:tcBorders>
            <w:noWrap/>
          </w:tcPr>
          <w:p w14:paraId="36244F8C" w14:textId="77777777" w:rsidR="005139A2" w:rsidRPr="005522F4" w:rsidRDefault="005139A2" w:rsidP="009B745E">
            <w:pPr>
              <w:tabs>
                <w:tab w:val="left" w:pos="467"/>
              </w:tabs>
              <w:jc w:val="center"/>
              <w:rPr>
                <w:rFonts w:ascii="Verdana" w:hAnsi="Verdana"/>
                <w:sz w:val="22"/>
                <w:szCs w:val="22"/>
              </w:rPr>
            </w:pPr>
          </w:p>
        </w:tc>
        <w:tc>
          <w:tcPr>
            <w:tcW w:w="1359" w:type="dxa"/>
            <w:tcBorders>
              <w:top w:val="nil"/>
              <w:bottom w:val="nil"/>
              <w:right w:val="nil"/>
            </w:tcBorders>
            <w:noWrap/>
          </w:tcPr>
          <w:p w14:paraId="2A0C7B56" w14:textId="77777777" w:rsidR="005139A2" w:rsidRPr="005522F4" w:rsidRDefault="005139A2" w:rsidP="009B745E">
            <w:pPr>
              <w:tabs>
                <w:tab w:val="left" w:pos="467"/>
              </w:tabs>
              <w:jc w:val="center"/>
              <w:rPr>
                <w:rFonts w:ascii="Verdana" w:hAnsi="Verdana"/>
                <w:sz w:val="22"/>
                <w:szCs w:val="22"/>
              </w:rPr>
            </w:pPr>
          </w:p>
        </w:tc>
      </w:tr>
      <w:tr w:rsidR="005522F4" w:rsidRPr="005522F4" w14:paraId="7ECE9622" w14:textId="77777777" w:rsidTr="009B745E">
        <w:trPr>
          <w:trHeight w:val="300"/>
        </w:trPr>
        <w:tc>
          <w:tcPr>
            <w:tcW w:w="4109" w:type="dxa"/>
            <w:tcBorders>
              <w:top w:val="nil"/>
              <w:left w:val="nil"/>
              <w:bottom w:val="nil"/>
            </w:tcBorders>
            <w:noWrap/>
            <w:hideMark/>
          </w:tcPr>
          <w:p w14:paraId="2A50C5E7" w14:textId="77777777" w:rsidR="005522F4" w:rsidRPr="005522F4" w:rsidRDefault="005522F4" w:rsidP="005522F4">
            <w:pPr>
              <w:tabs>
                <w:tab w:val="left" w:pos="467"/>
              </w:tabs>
              <w:rPr>
                <w:rFonts w:ascii="Verdana" w:hAnsi="Verdana"/>
                <w:sz w:val="22"/>
                <w:szCs w:val="22"/>
              </w:rPr>
            </w:pPr>
            <w:r w:rsidRPr="005522F4">
              <w:rPr>
                <w:rFonts w:ascii="Verdana" w:hAnsi="Verdana"/>
                <w:sz w:val="22"/>
                <w:szCs w:val="22"/>
              </w:rPr>
              <w:t>IKE Supported Housing</w:t>
            </w:r>
          </w:p>
        </w:tc>
        <w:tc>
          <w:tcPr>
            <w:tcW w:w="1078" w:type="dxa"/>
            <w:tcBorders>
              <w:top w:val="nil"/>
              <w:bottom w:val="nil"/>
            </w:tcBorders>
          </w:tcPr>
          <w:p w14:paraId="77C50216" w14:textId="133D2282" w:rsidR="005522F4" w:rsidRPr="005522F4" w:rsidRDefault="005139A2" w:rsidP="009B745E">
            <w:pPr>
              <w:tabs>
                <w:tab w:val="left" w:pos="467"/>
              </w:tabs>
              <w:jc w:val="center"/>
              <w:rPr>
                <w:rFonts w:ascii="Verdana" w:hAnsi="Verdana"/>
                <w:sz w:val="22"/>
                <w:szCs w:val="22"/>
              </w:rPr>
            </w:pPr>
            <w:r>
              <w:rPr>
                <w:rFonts w:ascii="Verdana" w:hAnsi="Verdana"/>
                <w:sz w:val="22"/>
                <w:szCs w:val="22"/>
              </w:rPr>
              <w:t>6</w:t>
            </w:r>
          </w:p>
        </w:tc>
        <w:tc>
          <w:tcPr>
            <w:tcW w:w="1907" w:type="dxa"/>
            <w:tcBorders>
              <w:top w:val="nil"/>
              <w:bottom w:val="nil"/>
            </w:tcBorders>
            <w:noWrap/>
            <w:hideMark/>
          </w:tcPr>
          <w:p w14:paraId="7DB92E1A" w14:textId="77777777" w:rsidR="005522F4" w:rsidRDefault="005522F4" w:rsidP="009B745E">
            <w:pPr>
              <w:tabs>
                <w:tab w:val="left" w:pos="467"/>
              </w:tabs>
              <w:jc w:val="center"/>
              <w:rPr>
                <w:rFonts w:ascii="Verdana" w:hAnsi="Verdana"/>
                <w:sz w:val="22"/>
                <w:szCs w:val="22"/>
              </w:rPr>
            </w:pPr>
          </w:p>
          <w:p w14:paraId="5BEDF7A8" w14:textId="77777777" w:rsidR="00270D4E" w:rsidRPr="005522F4" w:rsidRDefault="00270D4E" w:rsidP="009B745E">
            <w:pPr>
              <w:tabs>
                <w:tab w:val="left" w:pos="467"/>
              </w:tabs>
              <w:jc w:val="center"/>
              <w:rPr>
                <w:rFonts w:ascii="Verdana" w:hAnsi="Verdana"/>
                <w:sz w:val="22"/>
                <w:szCs w:val="22"/>
              </w:rPr>
            </w:pPr>
          </w:p>
        </w:tc>
        <w:tc>
          <w:tcPr>
            <w:tcW w:w="1457" w:type="dxa"/>
            <w:tcBorders>
              <w:top w:val="nil"/>
              <w:bottom w:val="nil"/>
            </w:tcBorders>
            <w:noWrap/>
            <w:hideMark/>
          </w:tcPr>
          <w:p w14:paraId="5342D700"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2</w:t>
            </w:r>
          </w:p>
        </w:tc>
        <w:tc>
          <w:tcPr>
            <w:tcW w:w="996" w:type="dxa"/>
            <w:tcBorders>
              <w:top w:val="nil"/>
              <w:bottom w:val="nil"/>
            </w:tcBorders>
            <w:noWrap/>
            <w:hideMark/>
          </w:tcPr>
          <w:p w14:paraId="463EF537" w14:textId="77777777" w:rsidR="005522F4" w:rsidRPr="005522F4" w:rsidRDefault="005522F4" w:rsidP="009B745E">
            <w:pPr>
              <w:tabs>
                <w:tab w:val="left" w:pos="467"/>
              </w:tabs>
              <w:jc w:val="center"/>
              <w:rPr>
                <w:rFonts w:ascii="Verdana" w:hAnsi="Verdana"/>
                <w:sz w:val="22"/>
                <w:szCs w:val="22"/>
              </w:rPr>
            </w:pPr>
          </w:p>
        </w:tc>
        <w:tc>
          <w:tcPr>
            <w:tcW w:w="1359" w:type="dxa"/>
            <w:tcBorders>
              <w:top w:val="nil"/>
              <w:bottom w:val="nil"/>
              <w:right w:val="nil"/>
            </w:tcBorders>
            <w:noWrap/>
            <w:hideMark/>
          </w:tcPr>
          <w:p w14:paraId="78520D21" w14:textId="5ABFF0CA" w:rsidR="005522F4" w:rsidRPr="005522F4" w:rsidRDefault="005139A2" w:rsidP="009B745E">
            <w:pPr>
              <w:tabs>
                <w:tab w:val="left" w:pos="467"/>
              </w:tabs>
              <w:jc w:val="center"/>
              <w:rPr>
                <w:rFonts w:ascii="Verdana" w:hAnsi="Verdana"/>
                <w:sz w:val="22"/>
                <w:szCs w:val="22"/>
              </w:rPr>
            </w:pPr>
            <w:r>
              <w:rPr>
                <w:rFonts w:ascii="Verdana" w:hAnsi="Verdana"/>
                <w:sz w:val="22"/>
                <w:szCs w:val="22"/>
              </w:rPr>
              <w:t>4</w:t>
            </w:r>
          </w:p>
        </w:tc>
      </w:tr>
      <w:tr w:rsidR="005522F4" w:rsidRPr="005522F4" w14:paraId="12903512" w14:textId="77777777" w:rsidTr="009B745E">
        <w:trPr>
          <w:trHeight w:val="300"/>
        </w:trPr>
        <w:tc>
          <w:tcPr>
            <w:tcW w:w="4109" w:type="dxa"/>
            <w:tcBorders>
              <w:top w:val="nil"/>
              <w:left w:val="nil"/>
              <w:bottom w:val="nil"/>
            </w:tcBorders>
            <w:noWrap/>
            <w:hideMark/>
          </w:tcPr>
          <w:p w14:paraId="54BD82FF" w14:textId="77777777" w:rsidR="005522F4" w:rsidRPr="005522F4" w:rsidRDefault="005522F4" w:rsidP="005522F4">
            <w:pPr>
              <w:tabs>
                <w:tab w:val="left" w:pos="467"/>
              </w:tabs>
              <w:rPr>
                <w:rFonts w:ascii="Verdana" w:hAnsi="Verdana"/>
                <w:sz w:val="22"/>
                <w:szCs w:val="22"/>
              </w:rPr>
            </w:pPr>
            <w:r w:rsidRPr="005522F4">
              <w:rPr>
                <w:rFonts w:ascii="Verdana" w:hAnsi="Verdana"/>
                <w:sz w:val="22"/>
                <w:szCs w:val="22"/>
              </w:rPr>
              <w:t>Auckland Home Solutions Community Interest Company</w:t>
            </w:r>
          </w:p>
        </w:tc>
        <w:tc>
          <w:tcPr>
            <w:tcW w:w="1078" w:type="dxa"/>
            <w:tcBorders>
              <w:top w:val="nil"/>
              <w:bottom w:val="nil"/>
            </w:tcBorders>
          </w:tcPr>
          <w:p w14:paraId="0557544C"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4</w:t>
            </w:r>
          </w:p>
        </w:tc>
        <w:tc>
          <w:tcPr>
            <w:tcW w:w="1907" w:type="dxa"/>
            <w:tcBorders>
              <w:top w:val="nil"/>
              <w:bottom w:val="nil"/>
            </w:tcBorders>
            <w:noWrap/>
            <w:hideMark/>
          </w:tcPr>
          <w:p w14:paraId="02498B0E"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4</w:t>
            </w:r>
          </w:p>
        </w:tc>
        <w:tc>
          <w:tcPr>
            <w:tcW w:w="1457" w:type="dxa"/>
            <w:tcBorders>
              <w:top w:val="nil"/>
              <w:bottom w:val="nil"/>
            </w:tcBorders>
            <w:noWrap/>
            <w:hideMark/>
          </w:tcPr>
          <w:p w14:paraId="5A684857" w14:textId="77777777" w:rsidR="005522F4" w:rsidRPr="005522F4" w:rsidRDefault="005522F4" w:rsidP="009B745E">
            <w:pPr>
              <w:tabs>
                <w:tab w:val="left" w:pos="467"/>
              </w:tabs>
              <w:jc w:val="center"/>
              <w:rPr>
                <w:rFonts w:ascii="Verdana" w:hAnsi="Verdana"/>
                <w:sz w:val="22"/>
                <w:szCs w:val="22"/>
              </w:rPr>
            </w:pPr>
          </w:p>
        </w:tc>
        <w:tc>
          <w:tcPr>
            <w:tcW w:w="996" w:type="dxa"/>
            <w:tcBorders>
              <w:top w:val="nil"/>
              <w:bottom w:val="nil"/>
            </w:tcBorders>
            <w:noWrap/>
            <w:hideMark/>
          </w:tcPr>
          <w:p w14:paraId="6DAC0A8C" w14:textId="77777777" w:rsidR="005522F4" w:rsidRPr="005522F4" w:rsidRDefault="005522F4" w:rsidP="009B745E">
            <w:pPr>
              <w:tabs>
                <w:tab w:val="left" w:pos="467"/>
              </w:tabs>
              <w:jc w:val="center"/>
              <w:rPr>
                <w:rFonts w:ascii="Verdana" w:hAnsi="Verdana"/>
                <w:sz w:val="22"/>
                <w:szCs w:val="22"/>
              </w:rPr>
            </w:pPr>
          </w:p>
        </w:tc>
        <w:tc>
          <w:tcPr>
            <w:tcW w:w="1359" w:type="dxa"/>
            <w:tcBorders>
              <w:top w:val="nil"/>
              <w:bottom w:val="nil"/>
              <w:right w:val="nil"/>
            </w:tcBorders>
            <w:noWrap/>
            <w:hideMark/>
          </w:tcPr>
          <w:p w14:paraId="7C1D7EA3" w14:textId="77777777" w:rsidR="005522F4" w:rsidRPr="005522F4" w:rsidRDefault="005522F4" w:rsidP="009B745E">
            <w:pPr>
              <w:tabs>
                <w:tab w:val="left" w:pos="467"/>
              </w:tabs>
              <w:jc w:val="center"/>
              <w:rPr>
                <w:rFonts w:ascii="Verdana" w:hAnsi="Verdana"/>
                <w:sz w:val="22"/>
                <w:szCs w:val="22"/>
              </w:rPr>
            </w:pPr>
          </w:p>
        </w:tc>
      </w:tr>
      <w:tr w:rsidR="005139A2" w:rsidRPr="005522F4" w14:paraId="7E7B1B24" w14:textId="77777777" w:rsidTr="009B745E">
        <w:trPr>
          <w:trHeight w:val="300"/>
        </w:trPr>
        <w:tc>
          <w:tcPr>
            <w:tcW w:w="4109" w:type="dxa"/>
            <w:tcBorders>
              <w:top w:val="nil"/>
              <w:left w:val="nil"/>
              <w:bottom w:val="nil"/>
              <w:right w:val="single" w:sz="4" w:space="0" w:color="auto"/>
            </w:tcBorders>
            <w:noWrap/>
          </w:tcPr>
          <w:p w14:paraId="7ABDE7F0" w14:textId="356E0618" w:rsidR="005139A2" w:rsidRPr="005522F4" w:rsidRDefault="005139A2" w:rsidP="005522F4">
            <w:pPr>
              <w:tabs>
                <w:tab w:val="left" w:pos="467"/>
              </w:tabs>
              <w:rPr>
                <w:rFonts w:ascii="Verdana" w:hAnsi="Verdana"/>
                <w:sz w:val="22"/>
                <w:szCs w:val="22"/>
              </w:rPr>
            </w:pPr>
            <w:r>
              <w:rPr>
                <w:rFonts w:ascii="Verdana" w:hAnsi="Verdana"/>
                <w:sz w:val="22"/>
                <w:szCs w:val="22"/>
              </w:rPr>
              <w:t>The Exaireo Trust Ltd</w:t>
            </w:r>
          </w:p>
        </w:tc>
        <w:tc>
          <w:tcPr>
            <w:tcW w:w="1078" w:type="dxa"/>
            <w:tcBorders>
              <w:top w:val="nil"/>
              <w:left w:val="single" w:sz="4" w:space="0" w:color="auto"/>
              <w:bottom w:val="nil"/>
              <w:right w:val="single" w:sz="4" w:space="0" w:color="auto"/>
            </w:tcBorders>
          </w:tcPr>
          <w:p w14:paraId="6277EEC0" w14:textId="58EC9697" w:rsidR="005139A2" w:rsidRPr="005522F4" w:rsidRDefault="005139A2" w:rsidP="009B745E">
            <w:pPr>
              <w:tabs>
                <w:tab w:val="left" w:pos="467"/>
              </w:tabs>
              <w:jc w:val="center"/>
              <w:rPr>
                <w:rFonts w:ascii="Verdana" w:hAnsi="Verdana"/>
                <w:sz w:val="22"/>
                <w:szCs w:val="22"/>
              </w:rPr>
            </w:pPr>
            <w:r>
              <w:rPr>
                <w:rFonts w:ascii="Verdana" w:hAnsi="Verdana"/>
                <w:sz w:val="22"/>
                <w:szCs w:val="22"/>
              </w:rPr>
              <w:t>4</w:t>
            </w:r>
          </w:p>
        </w:tc>
        <w:tc>
          <w:tcPr>
            <w:tcW w:w="1907" w:type="dxa"/>
            <w:tcBorders>
              <w:top w:val="nil"/>
              <w:left w:val="single" w:sz="4" w:space="0" w:color="auto"/>
              <w:bottom w:val="nil"/>
              <w:right w:val="single" w:sz="4" w:space="0" w:color="auto"/>
            </w:tcBorders>
            <w:noWrap/>
          </w:tcPr>
          <w:p w14:paraId="2E0F32AA" w14:textId="25442CB2" w:rsidR="005139A2" w:rsidRDefault="005139A2" w:rsidP="009B745E">
            <w:pPr>
              <w:tabs>
                <w:tab w:val="left" w:pos="467"/>
              </w:tabs>
              <w:jc w:val="center"/>
              <w:rPr>
                <w:rFonts w:ascii="Verdana" w:hAnsi="Verdana"/>
                <w:sz w:val="22"/>
                <w:szCs w:val="22"/>
              </w:rPr>
            </w:pPr>
          </w:p>
        </w:tc>
        <w:tc>
          <w:tcPr>
            <w:tcW w:w="1457" w:type="dxa"/>
            <w:tcBorders>
              <w:top w:val="nil"/>
              <w:left w:val="single" w:sz="4" w:space="0" w:color="auto"/>
              <w:bottom w:val="nil"/>
              <w:right w:val="single" w:sz="4" w:space="0" w:color="auto"/>
            </w:tcBorders>
            <w:noWrap/>
          </w:tcPr>
          <w:p w14:paraId="1817615A" w14:textId="43736B6D" w:rsidR="005139A2" w:rsidRPr="005522F4" w:rsidRDefault="005139A2" w:rsidP="009B745E">
            <w:pPr>
              <w:tabs>
                <w:tab w:val="left" w:pos="467"/>
              </w:tabs>
              <w:jc w:val="center"/>
              <w:rPr>
                <w:rFonts w:ascii="Verdana" w:hAnsi="Verdana"/>
                <w:sz w:val="22"/>
                <w:szCs w:val="22"/>
              </w:rPr>
            </w:pPr>
            <w:r>
              <w:rPr>
                <w:rFonts w:ascii="Verdana" w:hAnsi="Verdana"/>
                <w:sz w:val="22"/>
                <w:szCs w:val="22"/>
              </w:rPr>
              <w:t>4</w:t>
            </w:r>
          </w:p>
        </w:tc>
        <w:tc>
          <w:tcPr>
            <w:tcW w:w="996" w:type="dxa"/>
            <w:tcBorders>
              <w:top w:val="nil"/>
              <w:left w:val="single" w:sz="4" w:space="0" w:color="auto"/>
              <w:bottom w:val="nil"/>
              <w:right w:val="single" w:sz="4" w:space="0" w:color="auto"/>
            </w:tcBorders>
            <w:noWrap/>
          </w:tcPr>
          <w:p w14:paraId="53FE7902" w14:textId="77777777" w:rsidR="005139A2" w:rsidRPr="005522F4" w:rsidRDefault="005139A2" w:rsidP="009B745E">
            <w:pPr>
              <w:tabs>
                <w:tab w:val="left" w:pos="467"/>
              </w:tabs>
              <w:jc w:val="center"/>
              <w:rPr>
                <w:rFonts w:ascii="Verdana" w:hAnsi="Verdana"/>
                <w:sz w:val="22"/>
                <w:szCs w:val="22"/>
              </w:rPr>
            </w:pPr>
          </w:p>
        </w:tc>
        <w:tc>
          <w:tcPr>
            <w:tcW w:w="1359" w:type="dxa"/>
            <w:tcBorders>
              <w:top w:val="nil"/>
              <w:left w:val="single" w:sz="4" w:space="0" w:color="auto"/>
              <w:bottom w:val="nil"/>
              <w:right w:val="nil"/>
            </w:tcBorders>
            <w:noWrap/>
          </w:tcPr>
          <w:p w14:paraId="64752E39" w14:textId="77777777" w:rsidR="005139A2" w:rsidRPr="005522F4" w:rsidRDefault="005139A2" w:rsidP="009B745E">
            <w:pPr>
              <w:tabs>
                <w:tab w:val="left" w:pos="467"/>
              </w:tabs>
              <w:jc w:val="center"/>
              <w:rPr>
                <w:rFonts w:ascii="Verdana" w:hAnsi="Verdana"/>
                <w:sz w:val="22"/>
                <w:szCs w:val="22"/>
              </w:rPr>
            </w:pPr>
          </w:p>
        </w:tc>
      </w:tr>
      <w:tr w:rsidR="005139A2" w:rsidRPr="005522F4" w14:paraId="130EA455" w14:textId="77777777" w:rsidTr="009B745E">
        <w:trPr>
          <w:trHeight w:val="300"/>
        </w:trPr>
        <w:tc>
          <w:tcPr>
            <w:tcW w:w="4109" w:type="dxa"/>
            <w:tcBorders>
              <w:top w:val="nil"/>
              <w:left w:val="nil"/>
              <w:bottom w:val="nil"/>
              <w:right w:val="single" w:sz="4" w:space="0" w:color="auto"/>
            </w:tcBorders>
            <w:noWrap/>
          </w:tcPr>
          <w:p w14:paraId="2253A4C0" w14:textId="738D8952" w:rsidR="005139A2" w:rsidRDefault="005139A2" w:rsidP="005522F4">
            <w:pPr>
              <w:tabs>
                <w:tab w:val="left" w:pos="467"/>
              </w:tabs>
              <w:rPr>
                <w:rFonts w:ascii="Verdana" w:hAnsi="Verdana"/>
                <w:sz w:val="22"/>
                <w:szCs w:val="22"/>
              </w:rPr>
            </w:pPr>
            <w:r>
              <w:rPr>
                <w:rFonts w:ascii="Verdana" w:hAnsi="Verdana"/>
                <w:sz w:val="22"/>
                <w:szCs w:val="22"/>
              </w:rPr>
              <w:t>Falcon Housing Association C.I.C</w:t>
            </w:r>
          </w:p>
        </w:tc>
        <w:tc>
          <w:tcPr>
            <w:tcW w:w="1078" w:type="dxa"/>
            <w:tcBorders>
              <w:top w:val="nil"/>
              <w:left w:val="single" w:sz="4" w:space="0" w:color="auto"/>
              <w:bottom w:val="nil"/>
              <w:right w:val="single" w:sz="4" w:space="0" w:color="auto"/>
            </w:tcBorders>
          </w:tcPr>
          <w:p w14:paraId="7DE415B0" w14:textId="17DA0C4C" w:rsidR="005139A2" w:rsidRDefault="005139A2" w:rsidP="009B745E">
            <w:pPr>
              <w:tabs>
                <w:tab w:val="left" w:pos="467"/>
              </w:tabs>
              <w:jc w:val="center"/>
              <w:rPr>
                <w:rFonts w:ascii="Verdana" w:hAnsi="Verdana"/>
                <w:sz w:val="22"/>
                <w:szCs w:val="22"/>
              </w:rPr>
            </w:pPr>
            <w:r>
              <w:rPr>
                <w:rFonts w:ascii="Verdana" w:hAnsi="Verdana"/>
                <w:sz w:val="22"/>
                <w:szCs w:val="22"/>
              </w:rPr>
              <w:t>3</w:t>
            </w:r>
          </w:p>
        </w:tc>
        <w:tc>
          <w:tcPr>
            <w:tcW w:w="1907" w:type="dxa"/>
            <w:tcBorders>
              <w:top w:val="nil"/>
              <w:left w:val="single" w:sz="4" w:space="0" w:color="auto"/>
              <w:bottom w:val="nil"/>
              <w:right w:val="single" w:sz="4" w:space="0" w:color="auto"/>
            </w:tcBorders>
            <w:noWrap/>
          </w:tcPr>
          <w:p w14:paraId="32210D21" w14:textId="77777777" w:rsidR="005139A2" w:rsidRDefault="005139A2" w:rsidP="009B745E">
            <w:pPr>
              <w:tabs>
                <w:tab w:val="left" w:pos="467"/>
              </w:tabs>
              <w:jc w:val="center"/>
              <w:rPr>
                <w:rFonts w:ascii="Verdana" w:hAnsi="Verdana"/>
                <w:sz w:val="22"/>
                <w:szCs w:val="22"/>
              </w:rPr>
            </w:pPr>
          </w:p>
        </w:tc>
        <w:tc>
          <w:tcPr>
            <w:tcW w:w="1457" w:type="dxa"/>
            <w:tcBorders>
              <w:top w:val="nil"/>
              <w:left w:val="single" w:sz="4" w:space="0" w:color="auto"/>
              <w:bottom w:val="nil"/>
              <w:right w:val="single" w:sz="4" w:space="0" w:color="auto"/>
            </w:tcBorders>
            <w:noWrap/>
          </w:tcPr>
          <w:p w14:paraId="39017F22" w14:textId="23167CAE" w:rsidR="005139A2" w:rsidRDefault="005139A2" w:rsidP="009B745E">
            <w:pPr>
              <w:tabs>
                <w:tab w:val="left" w:pos="467"/>
              </w:tabs>
              <w:jc w:val="center"/>
              <w:rPr>
                <w:rFonts w:ascii="Verdana" w:hAnsi="Verdana"/>
                <w:sz w:val="22"/>
                <w:szCs w:val="22"/>
              </w:rPr>
            </w:pPr>
            <w:r>
              <w:rPr>
                <w:rFonts w:ascii="Verdana" w:hAnsi="Verdana"/>
                <w:sz w:val="22"/>
                <w:szCs w:val="22"/>
              </w:rPr>
              <w:t>2</w:t>
            </w:r>
          </w:p>
        </w:tc>
        <w:tc>
          <w:tcPr>
            <w:tcW w:w="996" w:type="dxa"/>
            <w:tcBorders>
              <w:top w:val="nil"/>
              <w:left w:val="single" w:sz="4" w:space="0" w:color="auto"/>
              <w:bottom w:val="nil"/>
              <w:right w:val="single" w:sz="4" w:space="0" w:color="auto"/>
            </w:tcBorders>
            <w:noWrap/>
          </w:tcPr>
          <w:p w14:paraId="09771485" w14:textId="30B9D41D" w:rsidR="005139A2" w:rsidRPr="005522F4" w:rsidRDefault="005139A2" w:rsidP="009B745E">
            <w:pPr>
              <w:tabs>
                <w:tab w:val="left" w:pos="467"/>
              </w:tabs>
              <w:jc w:val="center"/>
              <w:rPr>
                <w:rFonts w:ascii="Verdana" w:hAnsi="Verdana"/>
                <w:sz w:val="22"/>
                <w:szCs w:val="22"/>
              </w:rPr>
            </w:pPr>
            <w:r>
              <w:rPr>
                <w:rFonts w:ascii="Verdana" w:hAnsi="Verdana"/>
                <w:sz w:val="22"/>
                <w:szCs w:val="22"/>
              </w:rPr>
              <w:t>1</w:t>
            </w:r>
          </w:p>
        </w:tc>
        <w:tc>
          <w:tcPr>
            <w:tcW w:w="1359" w:type="dxa"/>
            <w:tcBorders>
              <w:top w:val="nil"/>
              <w:left w:val="single" w:sz="4" w:space="0" w:color="auto"/>
              <w:bottom w:val="nil"/>
              <w:right w:val="nil"/>
            </w:tcBorders>
            <w:noWrap/>
          </w:tcPr>
          <w:p w14:paraId="385AEBA3" w14:textId="77777777" w:rsidR="005139A2" w:rsidRPr="005522F4" w:rsidRDefault="005139A2" w:rsidP="009B745E">
            <w:pPr>
              <w:tabs>
                <w:tab w:val="left" w:pos="467"/>
              </w:tabs>
              <w:jc w:val="center"/>
              <w:rPr>
                <w:rFonts w:ascii="Verdana" w:hAnsi="Verdana"/>
                <w:sz w:val="22"/>
                <w:szCs w:val="22"/>
              </w:rPr>
            </w:pPr>
          </w:p>
        </w:tc>
      </w:tr>
      <w:tr w:rsidR="00EE34DD" w:rsidRPr="005522F4" w14:paraId="11AC5E31" w14:textId="77777777" w:rsidTr="009B745E">
        <w:trPr>
          <w:trHeight w:val="300"/>
        </w:trPr>
        <w:tc>
          <w:tcPr>
            <w:tcW w:w="4109" w:type="dxa"/>
            <w:tcBorders>
              <w:top w:val="nil"/>
              <w:left w:val="nil"/>
              <w:bottom w:val="nil"/>
              <w:right w:val="single" w:sz="4" w:space="0" w:color="auto"/>
            </w:tcBorders>
            <w:noWrap/>
          </w:tcPr>
          <w:p w14:paraId="103B06F3" w14:textId="18C48BEC" w:rsidR="00EE34DD" w:rsidRDefault="00EE34DD" w:rsidP="005522F4">
            <w:pPr>
              <w:tabs>
                <w:tab w:val="left" w:pos="467"/>
              </w:tabs>
              <w:rPr>
                <w:rFonts w:ascii="Verdana" w:hAnsi="Verdana"/>
                <w:sz w:val="22"/>
                <w:szCs w:val="22"/>
              </w:rPr>
            </w:pPr>
            <w:r>
              <w:rPr>
                <w:rFonts w:ascii="Verdana" w:hAnsi="Verdana"/>
                <w:sz w:val="22"/>
                <w:szCs w:val="22"/>
              </w:rPr>
              <w:t>Westmoreland Supported Housing Limited</w:t>
            </w:r>
          </w:p>
        </w:tc>
        <w:tc>
          <w:tcPr>
            <w:tcW w:w="1078" w:type="dxa"/>
            <w:tcBorders>
              <w:top w:val="nil"/>
              <w:left w:val="single" w:sz="4" w:space="0" w:color="auto"/>
              <w:bottom w:val="nil"/>
              <w:right w:val="single" w:sz="4" w:space="0" w:color="auto"/>
            </w:tcBorders>
          </w:tcPr>
          <w:p w14:paraId="43864F5A" w14:textId="4738A8F0" w:rsidR="00EE34DD" w:rsidRDefault="00EE34DD" w:rsidP="009B745E">
            <w:pPr>
              <w:tabs>
                <w:tab w:val="left" w:pos="467"/>
              </w:tabs>
              <w:jc w:val="center"/>
              <w:rPr>
                <w:rFonts w:ascii="Verdana" w:hAnsi="Verdana"/>
                <w:sz w:val="22"/>
                <w:szCs w:val="22"/>
              </w:rPr>
            </w:pPr>
            <w:r>
              <w:rPr>
                <w:rFonts w:ascii="Verdana" w:hAnsi="Verdana"/>
                <w:sz w:val="22"/>
                <w:szCs w:val="22"/>
              </w:rPr>
              <w:t>2</w:t>
            </w:r>
          </w:p>
        </w:tc>
        <w:tc>
          <w:tcPr>
            <w:tcW w:w="1907" w:type="dxa"/>
            <w:tcBorders>
              <w:top w:val="nil"/>
              <w:left w:val="single" w:sz="4" w:space="0" w:color="auto"/>
              <w:bottom w:val="nil"/>
              <w:right w:val="single" w:sz="4" w:space="0" w:color="auto"/>
            </w:tcBorders>
            <w:noWrap/>
          </w:tcPr>
          <w:p w14:paraId="129EF695" w14:textId="77777777" w:rsidR="00EE34DD" w:rsidRDefault="00EE34DD" w:rsidP="009B745E">
            <w:pPr>
              <w:tabs>
                <w:tab w:val="left" w:pos="467"/>
              </w:tabs>
              <w:jc w:val="center"/>
              <w:rPr>
                <w:rFonts w:ascii="Verdana" w:hAnsi="Verdana"/>
                <w:sz w:val="22"/>
                <w:szCs w:val="22"/>
              </w:rPr>
            </w:pPr>
          </w:p>
        </w:tc>
        <w:tc>
          <w:tcPr>
            <w:tcW w:w="1457" w:type="dxa"/>
            <w:tcBorders>
              <w:top w:val="nil"/>
              <w:left w:val="single" w:sz="4" w:space="0" w:color="auto"/>
              <w:bottom w:val="nil"/>
              <w:right w:val="single" w:sz="4" w:space="0" w:color="auto"/>
            </w:tcBorders>
            <w:noWrap/>
          </w:tcPr>
          <w:p w14:paraId="77665F28" w14:textId="63B5CE9C" w:rsidR="00EE34DD" w:rsidRDefault="00EE34DD" w:rsidP="009B745E">
            <w:pPr>
              <w:tabs>
                <w:tab w:val="left" w:pos="467"/>
              </w:tabs>
              <w:jc w:val="center"/>
              <w:rPr>
                <w:rFonts w:ascii="Verdana" w:hAnsi="Verdana"/>
                <w:sz w:val="22"/>
                <w:szCs w:val="22"/>
              </w:rPr>
            </w:pPr>
            <w:r>
              <w:rPr>
                <w:rFonts w:ascii="Verdana" w:hAnsi="Verdana"/>
                <w:sz w:val="22"/>
                <w:szCs w:val="22"/>
              </w:rPr>
              <w:t>2</w:t>
            </w:r>
          </w:p>
        </w:tc>
        <w:tc>
          <w:tcPr>
            <w:tcW w:w="996" w:type="dxa"/>
            <w:tcBorders>
              <w:top w:val="nil"/>
              <w:left w:val="single" w:sz="4" w:space="0" w:color="auto"/>
              <w:bottom w:val="nil"/>
              <w:right w:val="single" w:sz="4" w:space="0" w:color="auto"/>
            </w:tcBorders>
            <w:noWrap/>
          </w:tcPr>
          <w:p w14:paraId="2D5D881B" w14:textId="77777777" w:rsidR="00EE34DD" w:rsidRDefault="00EE34DD" w:rsidP="009B745E">
            <w:pPr>
              <w:tabs>
                <w:tab w:val="left" w:pos="467"/>
              </w:tabs>
              <w:jc w:val="center"/>
              <w:rPr>
                <w:rFonts w:ascii="Verdana" w:hAnsi="Verdana"/>
                <w:sz w:val="22"/>
                <w:szCs w:val="22"/>
              </w:rPr>
            </w:pPr>
          </w:p>
        </w:tc>
        <w:tc>
          <w:tcPr>
            <w:tcW w:w="1359" w:type="dxa"/>
            <w:tcBorders>
              <w:top w:val="nil"/>
              <w:left w:val="single" w:sz="4" w:space="0" w:color="auto"/>
              <w:bottom w:val="nil"/>
              <w:right w:val="nil"/>
            </w:tcBorders>
            <w:noWrap/>
          </w:tcPr>
          <w:p w14:paraId="783B2FF9" w14:textId="77777777" w:rsidR="00EE34DD" w:rsidRPr="005522F4" w:rsidRDefault="00EE34DD" w:rsidP="009B745E">
            <w:pPr>
              <w:tabs>
                <w:tab w:val="left" w:pos="467"/>
              </w:tabs>
              <w:jc w:val="center"/>
              <w:rPr>
                <w:rFonts w:ascii="Verdana" w:hAnsi="Verdana"/>
                <w:sz w:val="22"/>
                <w:szCs w:val="22"/>
              </w:rPr>
            </w:pPr>
          </w:p>
        </w:tc>
      </w:tr>
      <w:tr w:rsidR="005522F4" w:rsidRPr="005522F4" w14:paraId="1AC6A9F9" w14:textId="77777777" w:rsidTr="009B745E">
        <w:trPr>
          <w:trHeight w:val="300"/>
        </w:trPr>
        <w:tc>
          <w:tcPr>
            <w:tcW w:w="4109" w:type="dxa"/>
            <w:tcBorders>
              <w:top w:val="nil"/>
              <w:left w:val="nil"/>
              <w:bottom w:val="single" w:sz="4" w:space="0" w:color="auto"/>
              <w:right w:val="single" w:sz="4" w:space="0" w:color="auto"/>
            </w:tcBorders>
            <w:noWrap/>
            <w:hideMark/>
          </w:tcPr>
          <w:p w14:paraId="04F46FAD" w14:textId="52228425" w:rsidR="00270D4E" w:rsidRPr="005522F4" w:rsidRDefault="005522F4" w:rsidP="005522F4">
            <w:pPr>
              <w:tabs>
                <w:tab w:val="left" w:pos="467"/>
              </w:tabs>
              <w:rPr>
                <w:rFonts w:ascii="Verdana" w:hAnsi="Verdana"/>
                <w:sz w:val="22"/>
                <w:szCs w:val="22"/>
              </w:rPr>
            </w:pPr>
            <w:r w:rsidRPr="005522F4">
              <w:rPr>
                <w:rFonts w:ascii="Verdana" w:hAnsi="Verdana"/>
                <w:sz w:val="22"/>
                <w:szCs w:val="22"/>
              </w:rPr>
              <w:t>EMH Housing and Regeneration</w:t>
            </w:r>
          </w:p>
        </w:tc>
        <w:tc>
          <w:tcPr>
            <w:tcW w:w="1078" w:type="dxa"/>
            <w:tcBorders>
              <w:top w:val="nil"/>
              <w:left w:val="single" w:sz="4" w:space="0" w:color="auto"/>
              <w:bottom w:val="single" w:sz="4" w:space="0" w:color="auto"/>
              <w:right w:val="single" w:sz="4" w:space="0" w:color="auto"/>
            </w:tcBorders>
          </w:tcPr>
          <w:p w14:paraId="306CFECB"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1</w:t>
            </w:r>
          </w:p>
        </w:tc>
        <w:tc>
          <w:tcPr>
            <w:tcW w:w="1907" w:type="dxa"/>
            <w:tcBorders>
              <w:top w:val="nil"/>
              <w:left w:val="single" w:sz="4" w:space="0" w:color="auto"/>
              <w:bottom w:val="single" w:sz="4" w:space="0" w:color="auto"/>
              <w:right w:val="single" w:sz="4" w:space="0" w:color="auto"/>
            </w:tcBorders>
            <w:noWrap/>
            <w:hideMark/>
          </w:tcPr>
          <w:p w14:paraId="6502CD43" w14:textId="77777777" w:rsidR="005522F4" w:rsidRDefault="005522F4" w:rsidP="009B745E">
            <w:pPr>
              <w:tabs>
                <w:tab w:val="left" w:pos="467"/>
              </w:tabs>
              <w:jc w:val="center"/>
              <w:rPr>
                <w:rFonts w:ascii="Verdana" w:hAnsi="Verdana"/>
                <w:sz w:val="22"/>
                <w:szCs w:val="22"/>
              </w:rPr>
            </w:pPr>
          </w:p>
          <w:p w14:paraId="60776C07" w14:textId="245142CA" w:rsidR="00270D4E" w:rsidRPr="005522F4" w:rsidRDefault="00270D4E" w:rsidP="009B745E">
            <w:pPr>
              <w:tabs>
                <w:tab w:val="left" w:pos="467"/>
              </w:tabs>
              <w:jc w:val="center"/>
              <w:rPr>
                <w:rFonts w:ascii="Verdana" w:hAnsi="Verdana"/>
                <w:sz w:val="22"/>
                <w:szCs w:val="22"/>
              </w:rPr>
            </w:pPr>
          </w:p>
        </w:tc>
        <w:tc>
          <w:tcPr>
            <w:tcW w:w="1457" w:type="dxa"/>
            <w:tcBorders>
              <w:top w:val="nil"/>
              <w:left w:val="single" w:sz="4" w:space="0" w:color="auto"/>
              <w:bottom w:val="single" w:sz="4" w:space="0" w:color="auto"/>
              <w:right w:val="single" w:sz="4" w:space="0" w:color="auto"/>
            </w:tcBorders>
            <w:noWrap/>
            <w:hideMark/>
          </w:tcPr>
          <w:p w14:paraId="607845A2" w14:textId="77777777" w:rsidR="005522F4" w:rsidRPr="005522F4" w:rsidRDefault="005522F4" w:rsidP="009B745E">
            <w:pPr>
              <w:tabs>
                <w:tab w:val="left" w:pos="467"/>
              </w:tabs>
              <w:jc w:val="center"/>
              <w:rPr>
                <w:rFonts w:ascii="Verdana" w:hAnsi="Verdana"/>
                <w:sz w:val="22"/>
                <w:szCs w:val="22"/>
              </w:rPr>
            </w:pPr>
            <w:r w:rsidRPr="005522F4">
              <w:rPr>
                <w:rFonts w:ascii="Verdana" w:hAnsi="Verdana"/>
                <w:sz w:val="22"/>
                <w:szCs w:val="22"/>
              </w:rPr>
              <w:t>1</w:t>
            </w:r>
          </w:p>
        </w:tc>
        <w:tc>
          <w:tcPr>
            <w:tcW w:w="996" w:type="dxa"/>
            <w:tcBorders>
              <w:top w:val="nil"/>
              <w:left w:val="single" w:sz="4" w:space="0" w:color="auto"/>
              <w:bottom w:val="single" w:sz="4" w:space="0" w:color="auto"/>
              <w:right w:val="single" w:sz="4" w:space="0" w:color="auto"/>
            </w:tcBorders>
            <w:noWrap/>
            <w:hideMark/>
          </w:tcPr>
          <w:p w14:paraId="01144E64" w14:textId="77777777" w:rsidR="005522F4" w:rsidRPr="005522F4" w:rsidRDefault="005522F4" w:rsidP="009B745E">
            <w:pPr>
              <w:tabs>
                <w:tab w:val="left" w:pos="467"/>
              </w:tabs>
              <w:jc w:val="center"/>
              <w:rPr>
                <w:rFonts w:ascii="Verdana" w:hAnsi="Verdana"/>
                <w:sz w:val="22"/>
                <w:szCs w:val="22"/>
              </w:rPr>
            </w:pPr>
          </w:p>
        </w:tc>
        <w:tc>
          <w:tcPr>
            <w:tcW w:w="1359" w:type="dxa"/>
            <w:tcBorders>
              <w:top w:val="nil"/>
              <w:left w:val="single" w:sz="4" w:space="0" w:color="auto"/>
              <w:bottom w:val="single" w:sz="4" w:space="0" w:color="auto"/>
              <w:right w:val="nil"/>
            </w:tcBorders>
            <w:noWrap/>
            <w:hideMark/>
          </w:tcPr>
          <w:p w14:paraId="03101372" w14:textId="77777777" w:rsidR="005522F4" w:rsidRPr="005522F4" w:rsidRDefault="005522F4" w:rsidP="009B745E">
            <w:pPr>
              <w:tabs>
                <w:tab w:val="left" w:pos="467"/>
              </w:tabs>
              <w:jc w:val="center"/>
              <w:rPr>
                <w:rFonts w:ascii="Verdana" w:hAnsi="Verdana"/>
                <w:sz w:val="22"/>
                <w:szCs w:val="22"/>
              </w:rPr>
            </w:pPr>
          </w:p>
        </w:tc>
      </w:tr>
      <w:tr w:rsidR="005522F4" w:rsidRPr="005522F4" w14:paraId="264D014D" w14:textId="77777777" w:rsidTr="009B745E">
        <w:trPr>
          <w:trHeight w:val="300"/>
        </w:trPr>
        <w:tc>
          <w:tcPr>
            <w:tcW w:w="4109" w:type="dxa"/>
            <w:tcBorders>
              <w:top w:val="single" w:sz="4" w:space="0" w:color="auto"/>
              <w:left w:val="nil"/>
            </w:tcBorders>
            <w:noWrap/>
            <w:hideMark/>
          </w:tcPr>
          <w:p w14:paraId="52738537" w14:textId="77777777" w:rsidR="005522F4" w:rsidRPr="005522F4" w:rsidRDefault="005522F4" w:rsidP="005522F4">
            <w:pPr>
              <w:tabs>
                <w:tab w:val="left" w:pos="467"/>
              </w:tabs>
              <w:rPr>
                <w:rFonts w:ascii="Verdana" w:hAnsi="Verdana"/>
                <w:b/>
                <w:bCs/>
                <w:sz w:val="22"/>
                <w:szCs w:val="22"/>
              </w:rPr>
            </w:pPr>
            <w:r w:rsidRPr="005522F4">
              <w:rPr>
                <w:rFonts w:ascii="Verdana" w:hAnsi="Verdana"/>
                <w:b/>
                <w:bCs/>
                <w:sz w:val="22"/>
                <w:szCs w:val="22"/>
              </w:rPr>
              <w:t>Total</w:t>
            </w:r>
          </w:p>
        </w:tc>
        <w:tc>
          <w:tcPr>
            <w:tcW w:w="1078" w:type="dxa"/>
            <w:tcBorders>
              <w:top w:val="single" w:sz="4" w:space="0" w:color="auto"/>
            </w:tcBorders>
          </w:tcPr>
          <w:p w14:paraId="34CA72AC" w14:textId="4088EEE4" w:rsidR="005522F4" w:rsidRPr="005522F4" w:rsidRDefault="00EE34DD" w:rsidP="009B745E">
            <w:pPr>
              <w:tabs>
                <w:tab w:val="left" w:pos="467"/>
              </w:tabs>
              <w:jc w:val="center"/>
              <w:rPr>
                <w:rFonts w:ascii="Verdana" w:hAnsi="Verdana"/>
                <w:b/>
                <w:bCs/>
                <w:sz w:val="22"/>
                <w:szCs w:val="22"/>
              </w:rPr>
            </w:pPr>
            <w:r>
              <w:rPr>
                <w:rFonts w:ascii="Verdana" w:hAnsi="Verdana"/>
                <w:b/>
                <w:bCs/>
                <w:sz w:val="22"/>
                <w:szCs w:val="22"/>
              </w:rPr>
              <w:t>14,856</w:t>
            </w:r>
          </w:p>
        </w:tc>
        <w:tc>
          <w:tcPr>
            <w:tcW w:w="1907" w:type="dxa"/>
            <w:tcBorders>
              <w:top w:val="single" w:sz="4" w:space="0" w:color="auto"/>
            </w:tcBorders>
            <w:noWrap/>
            <w:hideMark/>
          </w:tcPr>
          <w:p w14:paraId="559E10FE" w14:textId="5143C927" w:rsidR="005522F4" w:rsidRPr="005522F4" w:rsidRDefault="001A2C24" w:rsidP="009B745E">
            <w:pPr>
              <w:tabs>
                <w:tab w:val="left" w:pos="467"/>
              </w:tabs>
              <w:jc w:val="center"/>
              <w:rPr>
                <w:rFonts w:ascii="Verdana" w:hAnsi="Verdana"/>
                <w:b/>
                <w:bCs/>
                <w:sz w:val="22"/>
                <w:szCs w:val="22"/>
              </w:rPr>
            </w:pPr>
            <w:r>
              <w:rPr>
                <w:rFonts w:ascii="Verdana" w:hAnsi="Verdana"/>
                <w:b/>
                <w:bCs/>
                <w:sz w:val="22"/>
                <w:szCs w:val="22"/>
              </w:rPr>
              <w:t>1,</w:t>
            </w:r>
            <w:sdt>
              <w:sdtPr>
                <w:rPr>
                  <w:rFonts w:ascii="Verdana" w:hAnsi="Verdana"/>
                  <w:b/>
                  <w:bCs/>
                  <w:sz w:val="22"/>
                  <w:szCs w:val="22"/>
                </w:rPr>
                <w:id w:val="1628509254"/>
                <w:docPartObj>
                  <w:docPartGallery w:val="Watermarks"/>
                </w:docPartObj>
              </w:sdtPr>
              <w:sdtEndPr/>
              <w:sdtContent>
                <w:r w:rsidRPr="001A2C24">
                  <w:rPr>
                    <w:rFonts w:ascii="Verdana" w:hAnsi="Verdana"/>
                    <w:b/>
                    <w:bCs/>
                    <w:noProof/>
                    <w:sz w:val="22"/>
                    <w:szCs w:val="22"/>
                  </w:rPr>
                  <mc:AlternateContent>
                    <mc:Choice Requires="wps">
                      <w:drawing>
                        <wp:anchor distT="0" distB="0" distL="114300" distR="114300" simplePos="0" relativeHeight="251659264" behindDoc="1" locked="0" layoutInCell="0" allowOverlap="1" wp14:anchorId="59B33C8F" wp14:editId="4D1445EE">
                          <wp:simplePos x="0" y="0"/>
                          <wp:positionH relativeFrom="margin">
                            <wp:align>center</wp:align>
                          </wp:positionH>
                          <wp:positionV relativeFrom="margin">
                            <wp:align>center</wp:align>
                          </wp:positionV>
                          <wp:extent cx="5237480" cy="3142615"/>
                          <wp:effectExtent l="0" t="1143000" r="0" b="657860"/>
                          <wp:wrapNone/>
                          <wp:docPr id="12942135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1F83C" w14:textId="77777777" w:rsidR="001A2C24" w:rsidRDefault="001A2C24" w:rsidP="001A2C24">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B33C8F" id="_x0000_t202" coordsize="21600,21600" o:spt="202" path="m,l,21600r21600,l21600,xe">
                          <v:stroke joinstyle="miter"/>
                          <v:path gradientshapeok="t" o:connecttype="rect"/>
                        </v:shapetype>
                        <v:shape id="Text Box 1" o:spid="_x0000_s1026" type="#_x0000_t202" style="position:absolute;left:0;text-align:left;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6591F83C" w14:textId="77777777" w:rsidR="001A2C24" w:rsidRDefault="001A2C24" w:rsidP="001A2C24">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00EE34DD">
              <w:rPr>
                <w:rFonts w:ascii="Verdana" w:hAnsi="Verdana"/>
                <w:b/>
                <w:bCs/>
                <w:sz w:val="22"/>
                <w:szCs w:val="22"/>
              </w:rPr>
              <w:t>623</w:t>
            </w:r>
          </w:p>
        </w:tc>
        <w:tc>
          <w:tcPr>
            <w:tcW w:w="1457" w:type="dxa"/>
            <w:tcBorders>
              <w:top w:val="single" w:sz="4" w:space="0" w:color="auto"/>
            </w:tcBorders>
            <w:noWrap/>
            <w:hideMark/>
          </w:tcPr>
          <w:p w14:paraId="2BFEB851" w14:textId="4A11F537" w:rsidR="005522F4" w:rsidRPr="005522F4" w:rsidRDefault="005522F4" w:rsidP="009B745E">
            <w:pPr>
              <w:tabs>
                <w:tab w:val="left" w:pos="467"/>
              </w:tabs>
              <w:jc w:val="center"/>
              <w:rPr>
                <w:rFonts w:ascii="Verdana" w:hAnsi="Verdana"/>
                <w:b/>
                <w:bCs/>
                <w:sz w:val="22"/>
                <w:szCs w:val="22"/>
              </w:rPr>
            </w:pPr>
            <w:r w:rsidRPr="005522F4">
              <w:rPr>
                <w:rFonts w:ascii="Verdana" w:hAnsi="Verdana"/>
                <w:b/>
                <w:bCs/>
                <w:sz w:val="22"/>
                <w:szCs w:val="22"/>
              </w:rPr>
              <w:t>3,</w:t>
            </w:r>
            <w:r w:rsidR="00EE34DD">
              <w:rPr>
                <w:rFonts w:ascii="Verdana" w:hAnsi="Verdana"/>
                <w:b/>
                <w:bCs/>
                <w:sz w:val="22"/>
                <w:szCs w:val="22"/>
              </w:rPr>
              <w:t>800</w:t>
            </w:r>
          </w:p>
        </w:tc>
        <w:tc>
          <w:tcPr>
            <w:tcW w:w="996" w:type="dxa"/>
            <w:tcBorders>
              <w:top w:val="single" w:sz="4" w:space="0" w:color="auto"/>
            </w:tcBorders>
            <w:noWrap/>
            <w:hideMark/>
          </w:tcPr>
          <w:p w14:paraId="65F1BF4F" w14:textId="48BC2729" w:rsidR="005522F4" w:rsidRPr="005522F4" w:rsidRDefault="005522F4" w:rsidP="009B745E">
            <w:pPr>
              <w:tabs>
                <w:tab w:val="left" w:pos="467"/>
              </w:tabs>
              <w:jc w:val="center"/>
              <w:rPr>
                <w:rFonts w:ascii="Verdana" w:hAnsi="Verdana"/>
                <w:b/>
                <w:bCs/>
                <w:sz w:val="22"/>
                <w:szCs w:val="22"/>
              </w:rPr>
            </w:pPr>
            <w:r w:rsidRPr="005522F4">
              <w:rPr>
                <w:rFonts w:ascii="Verdana" w:hAnsi="Verdana"/>
                <w:b/>
                <w:bCs/>
                <w:sz w:val="22"/>
                <w:szCs w:val="22"/>
              </w:rPr>
              <w:t>3,</w:t>
            </w:r>
            <w:r w:rsidR="00EE34DD">
              <w:rPr>
                <w:rFonts w:ascii="Verdana" w:hAnsi="Verdana"/>
                <w:b/>
                <w:bCs/>
                <w:sz w:val="22"/>
                <w:szCs w:val="22"/>
              </w:rPr>
              <w:t>865</w:t>
            </w:r>
          </w:p>
        </w:tc>
        <w:tc>
          <w:tcPr>
            <w:tcW w:w="1359" w:type="dxa"/>
            <w:tcBorders>
              <w:top w:val="single" w:sz="4" w:space="0" w:color="auto"/>
              <w:bottom w:val="single" w:sz="4" w:space="0" w:color="auto"/>
              <w:right w:val="single" w:sz="4" w:space="0" w:color="auto"/>
            </w:tcBorders>
            <w:noWrap/>
            <w:hideMark/>
          </w:tcPr>
          <w:p w14:paraId="06452945" w14:textId="49258C6C" w:rsidR="005522F4" w:rsidRPr="005522F4" w:rsidRDefault="00EE34DD" w:rsidP="009B745E">
            <w:pPr>
              <w:tabs>
                <w:tab w:val="left" w:pos="467"/>
              </w:tabs>
              <w:jc w:val="center"/>
              <w:rPr>
                <w:rFonts w:ascii="Verdana" w:hAnsi="Verdana"/>
                <w:b/>
                <w:bCs/>
                <w:sz w:val="22"/>
                <w:szCs w:val="22"/>
              </w:rPr>
            </w:pPr>
            <w:r>
              <w:rPr>
                <w:rFonts w:ascii="Verdana" w:hAnsi="Verdana"/>
                <w:b/>
                <w:bCs/>
                <w:sz w:val="22"/>
                <w:szCs w:val="22"/>
              </w:rPr>
              <w:t>5,568</w:t>
            </w:r>
          </w:p>
        </w:tc>
      </w:tr>
    </w:tbl>
    <w:p w14:paraId="7337BA84" w14:textId="3C702D8C" w:rsidR="005522F4" w:rsidRDefault="00803B64" w:rsidP="00383A80">
      <w:pPr>
        <w:tabs>
          <w:tab w:val="left" w:pos="467"/>
        </w:tabs>
        <w:rPr>
          <w:rFonts w:ascii="Verdana" w:hAnsi="Verdana"/>
        </w:rPr>
      </w:pPr>
      <w:r>
        <w:rPr>
          <w:rFonts w:ascii="Verdana" w:hAnsi="Verdana"/>
        </w:rPr>
        <w:t>Source: Regulator of Social Housing, Statistical Data Return 20</w:t>
      </w:r>
      <w:r w:rsidR="00EE34DD">
        <w:rPr>
          <w:rFonts w:ascii="Verdana" w:hAnsi="Verdana"/>
        </w:rPr>
        <w:t>23</w:t>
      </w:r>
    </w:p>
    <w:p w14:paraId="3BFB4819" w14:textId="77777777" w:rsidR="00102F57" w:rsidRDefault="00102F57" w:rsidP="00383A80">
      <w:pPr>
        <w:tabs>
          <w:tab w:val="left" w:pos="467"/>
        </w:tabs>
        <w:rPr>
          <w:rFonts w:ascii="Verdana" w:hAnsi="Verdana"/>
        </w:rPr>
      </w:pPr>
    </w:p>
    <w:p w14:paraId="3209C186" w14:textId="77777777" w:rsidR="009A202D" w:rsidRPr="009A202D" w:rsidRDefault="009A202D" w:rsidP="00102F57">
      <w:pPr>
        <w:tabs>
          <w:tab w:val="left" w:pos="467"/>
        </w:tabs>
        <w:rPr>
          <w:rFonts w:ascii="Verdana" w:hAnsi="Verdana"/>
          <w:b/>
        </w:rPr>
      </w:pPr>
      <w:r w:rsidRPr="009A202D">
        <w:rPr>
          <w:rFonts w:ascii="Verdana" w:hAnsi="Verdana"/>
          <w:b/>
        </w:rPr>
        <w:t>Notes</w:t>
      </w:r>
    </w:p>
    <w:p w14:paraId="1BFCE1D6" w14:textId="3690387D" w:rsidR="002F2714" w:rsidRDefault="00102F57" w:rsidP="00EE34DD">
      <w:pPr>
        <w:tabs>
          <w:tab w:val="left" w:pos="467"/>
        </w:tabs>
        <w:rPr>
          <w:rFonts w:ascii="Verdana" w:hAnsi="Verdana"/>
        </w:rPr>
      </w:pPr>
      <w:r>
        <w:rPr>
          <w:rFonts w:ascii="Verdana" w:hAnsi="Verdana"/>
        </w:rPr>
        <w:t xml:space="preserve">Note 1: The Private Registered Provider names are as set out in the Statistical Data Return. </w:t>
      </w:r>
    </w:p>
    <w:p w14:paraId="3DEE25AC" w14:textId="77777777" w:rsidR="00EE34DD" w:rsidRDefault="00EE34DD" w:rsidP="00EE34DD">
      <w:pPr>
        <w:tabs>
          <w:tab w:val="left" w:pos="467"/>
        </w:tabs>
        <w:rPr>
          <w:rFonts w:ascii="Verdana" w:hAnsi="Verdana"/>
        </w:rPr>
      </w:pPr>
    </w:p>
    <w:p w14:paraId="40C5C7F8" w14:textId="77777777" w:rsidR="00EE34DD" w:rsidRDefault="00EE34DD" w:rsidP="00EE34DD">
      <w:pPr>
        <w:tabs>
          <w:tab w:val="left" w:pos="467"/>
        </w:tabs>
        <w:rPr>
          <w:rFonts w:ascii="Verdana" w:hAnsi="Verdana"/>
          <w:b/>
          <w:sz w:val="28"/>
          <w:szCs w:val="28"/>
        </w:rPr>
      </w:pPr>
    </w:p>
    <w:p w14:paraId="4F707E52" w14:textId="77777777" w:rsidR="002F2714" w:rsidRDefault="002F2714" w:rsidP="002F2714">
      <w:pPr>
        <w:rPr>
          <w:rFonts w:ascii="Verdana" w:hAnsi="Verdana"/>
          <w:b/>
          <w:sz w:val="28"/>
          <w:szCs w:val="28"/>
        </w:rPr>
      </w:pPr>
      <w:r>
        <w:rPr>
          <w:rFonts w:ascii="Verdana" w:hAnsi="Verdana"/>
          <w:b/>
          <w:sz w:val="28"/>
          <w:szCs w:val="28"/>
        </w:rPr>
        <w:lastRenderedPageBreak/>
        <w:t>Appendix three – Tenancy policies</w:t>
      </w:r>
      <w:r w:rsidRPr="00135AD7">
        <w:rPr>
          <w:rFonts w:ascii="Verdana" w:hAnsi="Verdana"/>
          <w:b/>
          <w:sz w:val="28"/>
          <w:szCs w:val="28"/>
        </w:rPr>
        <w:t xml:space="preserve"> </w:t>
      </w:r>
    </w:p>
    <w:p w14:paraId="0C7EA1A9" w14:textId="77777777" w:rsidR="00363FD0" w:rsidRPr="00135AD7" w:rsidRDefault="00363FD0" w:rsidP="002F2714">
      <w:pPr>
        <w:rPr>
          <w:rFonts w:ascii="Verdana" w:hAnsi="Verdana"/>
          <w:b/>
          <w:sz w:val="28"/>
          <w:szCs w:val="28"/>
        </w:rPr>
      </w:pPr>
    </w:p>
    <w:p w14:paraId="29AAF6BE" w14:textId="0E843CDD" w:rsidR="002F2714" w:rsidRDefault="002F2714" w:rsidP="002F2714">
      <w:pPr>
        <w:rPr>
          <w:rFonts w:ascii="Verdana" w:hAnsi="Verdana"/>
        </w:rPr>
      </w:pPr>
      <w:r>
        <w:rPr>
          <w:rFonts w:ascii="Verdana" w:hAnsi="Verdana"/>
        </w:rPr>
        <w:t xml:space="preserve">As explained in the Introduction, </w:t>
      </w:r>
      <w:r w:rsidRPr="00707B78">
        <w:rPr>
          <w:rFonts w:ascii="Verdana" w:hAnsi="Verdana"/>
        </w:rPr>
        <w:t xml:space="preserve">there are over 50 different Private Registered </w:t>
      </w:r>
      <w:r w:rsidR="00507EEA">
        <w:rPr>
          <w:rFonts w:ascii="Verdana" w:hAnsi="Verdana"/>
        </w:rPr>
        <w:t>P</w:t>
      </w:r>
      <w:r w:rsidRPr="00707B78">
        <w:rPr>
          <w:rFonts w:ascii="Verdana" w:hAnsi="Verdana"/>
        </w:rPr>
        <w:t xml:space="preserve">roviders with housing in the Designated Area. Each has its own Tenancy </w:t>
      </w:r>
      <w:r w:rsidR="00363FD0" w:rsidRPr="00707B78">
        <w:rPr>
          <w:rFonts w:ascii="Verdana" w:hAnsi="Verdana"/>
        </w:rPr>
        <w:t>Policy,</w:t>
      </w:r>
      <w:r>
        <w:rPr>
          <w:rFonts w:ascii="Verdana" w:hAnsi="Verdana"/>
        </w:rPr>
        <w:t xml:space="preserve"> and it is</w:t>
      </w:r>
      <w:r w:rsidRPr="00707B78">
        <w:rPr>
          <w:rFonts w:ascii="Verdana" w:hAnsi="Verdana"/>
        </w:rPr>
        <w:t xml:space="preserve"> not practical to summarise </w:t>
      </w:r>
      <w:r w:rsidR="009B745E" w:rsidRPr="00707B78">
        <w:rPr>
          <w:rFonts w:ascii="Verdana" w:hAnsi="Verdana"/>
        </w:rPr>
        <w:t>all</w:t>
      </w:r>
      <w:r w:rsidRPr="00707B78">
        <w:rPr>
          <w:rFonts w:ascii="Verdana" w:hAnsi="Verdana"/>
        </w:rPr>
        <w:t xml:space="preserve"> the tenancy policies here. </w:t>
      </w:r>
    </w:p>
    <w:p w14:paraId="1EC8A088" w14:textId="77777777" w:rsidR="002F2714" w:rsidRDefault="002F2714" w:rsidP="002F2714">
      <w:pPr>
        <w:rPr>
          <w:rFonts w:ascii="Verdana" w:hAnsi="Verdana"/>
        </w:rPr>
      </w:pPr>
    </w:p>
    <w:p w14:paraId="11C33C27" w14:textId="77777777" w:rsidR="00C30849" w:rsidRDefault="002F2714" w:rsidP="002F2714">
      <w:pPr>
        <w:rPr>
          <w:rFonts w:ascii="Verdana" w:hAnsi="Verdana"/>
        </w:rPr>
      </w:pPr>
      <w:r w:rsidRPr="00707B78">
        <w:rPr>
          <w:rFonts w:ascii="Verdana" w:hAnsi="Verdana"/>
        </w:rPr>
        <w:t>Social Landlords are expected to make sure that their Tenancy Policies are up to date and readily available both in a printed format and on their website</w:t>
      </w:r>
      <w:r w:rsidR="00C30849">
        <w:rPr>
          <w:rFonts w:ascii="Verdana" w:hAnsi="Verdana"/>
        </w:rPr>
        <w:t>.</w:t>
      </w:r>
    </w:p>
    <w:p w14:paraId="09E7673B" w14:textId="77777777" w:rsidR="00C30849" w:rsidRDefault="00C30849" w:rsidP="002F2714">
      <w:pPr>
        <w:rPr>
          <w:rFonts w:ascii="Verdana" w:hAnsi="Verdana"/>
        </w:rPr>
      </w:pPr>
    </w:p>
    <w:p w14:paraId="0D700BB8" w14:textId="77777777" w:rsidR="004A0CBC" w:rsidRDefault="00C30849" w:rsidP="002F2714">
      <w:pPr>
        <w:rPr>
          <w:rFonts w:ascii="Verdana" w:hAnsi="Verdana"/>
        </w:rPr>
      </w:pPr>
      <w:r>
        <w:rPr>
          <w:rFonts w:ascii="Verdana" w:hAnsi="Verdana"/>
        </w:rPr>
        <w:t>W</w:t>
      </w:r>
      <w:r w:rsidR="002F2714" w:rsidRPr="00707B78">
        <w:rPr>
          <w:rFonts w:ascii="Verdana" w:hAnsi="Verdana"/>
        </w:rPr>
        <w:t xml:space="preserve">ebsite addresses for those Private Registered Providers with </w:t>
      </w:r>
      <w:r>
        <w:rPr>
          <w:rFonts w:ascii="Verdana" w:hAnsi="Verdana"/>
        </w:rPr>
        <w:t>more than 100 homes across the Designated Area</w:t>
      </w:r>
      <w:r w:rsidR="004A0CBC">
        <w:rPr>
          <w:rFonts w:ascii="Verdana" w:hAnsi="Verdana"/>
        </w:rPr>
        <w:t>,</w:t>
      </w:r>
      <w:r>
        <w:rPr>
          <w:rFonts w:ascii="Verdana" w:hAnsi="Verdana"/>
        </w:rPr>
        <w:t xml:space="preserve"> or more than 50 </w:t>
      </w:r>
      <w:r w:rsidR="002F2714" w:rsidRPr="00707B78">
        <w:rPr>
          <w:rFonts w:ascii="Verdana" w:hAnsi="Verdana"/>
        </w:rPr>
        <w:t xml:space="preserve">in any </w:t>
      </w:r>
      <w:proofErr w:type="gramStart"/>
      <w:r w:rsidR="002F2714" w:rsidRPr="00707B78">
        <w:rPr>
          <w:rFonts w:ascii="Verdana" w:hAnsi="Verdana"/>
        </w:rPr>
        <w:t>particular district</w:t>
      </w:r>
      <w:proofErr w:type="gramEnd"/>
      <w:r w:rsidR="004A0CBC">
        <w:rPr>
          <w:rFonts w:ascii="Verdana" w:hAnsi="Verdana"/>
        </w:rPr>
        <w:t>,</w:t>
      </w:r>
      <w:r w:rsidR="002F2714" w:rsidRPr="00707B78">
        <w:rPr>
          <w:rFonts w:ascii="Verdana" w:hAnsi="Verdana"/>
        </w:rPr>
        <w:t xml:space="preserve"> are included </w:t>
      </w:r>
      <w:r w:rsidR="002F2714">
        <w:rPr>
          <w:rFonts w:ascii="Verdana" w:hAnsi="Verdana"/>
        </w:rPr>
        <w:t>here</w:t>
      </w:r>
      <w:r w:rsidR="004A0CBC">
        <w:rPr>
          <w:rFonts w:ascii="Verdana" w:hAnsi="Verdana"/>
        </w:rPr>
        <w:t xml:space="preserve">. </w:t>
      </w:r>
    </w:p>
    <w:p w14:paraId="1E7E37AF" w14:textId="77777777" w:rsidR="004A0CBC" w:rsidRDefault="004A0CBC" w:rsidP="002F2714">
      <w:pPr>
        <w:rPr>
          <w:rFonts w:ascii="Verdana" w:hAnsi="Verdana"/>
        </w:rPr>
      </w:pPr>
    </w:p>
    <w:p w14:paraId="6B2B03FF" w14:textId="77777777" w:rsidR="002F2714" w:rsidRDefault="004A0CBC" w:rsidP="002F2714">
      <w:pPr>
        <w:rPr>
          <w:rFonts w:ascii="Verdana" w:hAnsi="Verdana"/>
        </w:rPr>
      </w:pPr>
      <w:r>
        <w:rPr>
          <w:rFonts w:ascii="Verdana" w:hAnsi="Verdana"/>
        </w:rPr>
        <w:t xml:space="preserve">To facilitate cross-referencing </w:t>
      </w:r>
      <w:r w:rsidR="00C30849">
        <w:rPr>
          <w:rFonts w:ascii="Verdana" w:hAnsi="Verdana"/>
        </w:rPr>
        <w:t xml:space="preserve">the same nomenclature </w:t>
      </w:r>
      <w:r>
        <w:rPr>
          <w:rFonts w:ascii="Verdana" w:hAnsi="Verdana"/>
        </w:rPr>
        <w:t xml:space="preserve">is used </w:t>
      </w:r>
      <w:r w:rsidR="00C30849">
        <w:rPr>
          <w:rFonts w:ascii="Verdana" w:hAnsi="Verdana"/>
        </w:rPr>
        <w:t>as in appendix two</w:t>
      </w:r>
      <w:r>
        <w:rPr>
          <w:rFonts w:ascii="Verdana" w:hAnsi="Verdana"/>
        </w:rPr>
        <w:t>. Readers should note that due to the formation of group structures the headline organisation on the website may differ from the name given in appendix two and below.</w:t>
      </w:r>
    </w:p>
    <w:p w14:paraId="6C453C27" w14:textId="77777777" w:rsidR="0036788A" w:rsidRDefault="0036788A" w:rsidP="002F2714">
      <w:pPr>
        <w:rPr>
          <w:rFonts w:ascii="Verdana" w:hAnsi="Verdana"/>
        </w:rPr>
      </w:pPr>
    </w:p>
    <w:p w14:paraId="3721A160" w14:textId="77777777" w:rsidR="002F2714" w:rsidRDefault="002F2714" w:rsidP="002F2714">
      <w:pPr>
        <w:rPr>
          <w:rStyle w:val="Hyperlink"/>
          <w:rFonts w:ascii="Verdana" w:hAnsi="Verdana"/>
        </w:rPr>
      </w:pPr>
      <w:r>
        <w:rPr>
          <w:rFonts w:ascii="Verdana" w:hAnsi="Verdana"/>
        </w:rPr>
        <w:t xml:space="preserve">Anchor </w:t>
      </w:r>
      <w:r w:rsidR="0036788A">
        <w:rPr>
          <w:rFonts w:ascii="Verdana" w:hAnsi="Verdana"/>
        </w:rPr>
        <w:t>Hanover Group</w:t>
      </w:r>
      <w:r>
        <w:rPr>
          <w:rFonts w:ascii="Verdana" w:hAnsi="Verdana"/>
        </w:rPr>
        <w:t xml:space="preserve"> – </w:t>
      </w:r>
      <w:hyperlink r:id="rId24" w:history="1">
        <w:r w:rsidR="00C30849" w:rsidRPr="00F30FE3">
          <w:rPr>
            <w:rStyle w:val="Hyperlink"/>
            <w:rFonts w:ascii="Verdana" w:hAnsi="Verdana"/>
          </w:rPr>
          <w:t>www.anchorhanover.org.uk</w:t>
        </w:r>
      </w:hyperlink>
    </w:p>
    <w:p w14:paraId="2038A76F" w14:textId="77777777" w:rsidR="002F2714" w:rsidRDefault="002F2714" w:rsidP="002F2714">
      <w:pPr>
        <w:rPr>
          <w:rFonts w:ascii="Verdana" w:hAnsi="Verdana"/>
        </w:rPr>
      </w:pPr>
    </w:p>
    <w:p w14:paraId="387C12B5" w14:textId="77777777" w:rsidR="00C30849" w:rsidRDefault="00C30849" w:rsidP="00C30849">
      <w:pPr>
        <w:rPr>
          <w:rFonts w:ascii="Verdana" w:hAnsi="Verdana"/>
        </w:rPr>
      </w:pPr>
      <w:r>
        <w:rPr>
          <w:rFonts w:ascii="Verdana" w:hAnsi="Verdana"/>
        </w:rPr>
        <w:t xml:space="preserve">Bromford – </w:t>
      </w:r>
      <w:hyperlink r:id="rId25" w:history="1">
        <w:r w:rsidRPr="00F30FE3">
          <w:rPr>
            <w:rStyle w:val="Hyperlink"/>
            <w:rFonts w:ascii="Verdana" w:hAnsi="Verdana"/>
          </w:rPr>
          <w:t>www.bromford.co.uk</w:t>
        </w:r>
      </w:hyperlink>
    </w:p>
    <w:p w14:paraId="0AE68B3D" w14:textId="77777777" w:rsidR="00C30849" w:rsidRDefault="00C30849" w:rsidP="00C30849">
      <w:pPr>
        <w:rPr>
          <w:rFonts w:ascii="Verdana" w:hAnsi="Verdana"/>
        </w:rPr>
      </w:pPr>
    </w:p>
    <w:p w14:paraId="497862B3" w14:textId="77777777" w:rsidR="0036788A" w:rsidRDefault="0036788A" w:rsidP="0036788A">
      <w:pPr>
        <w:rPr>
          <w:rStyle w:val="Hyperlink"/>
          <w:rFonts w:ascii="Verdana" w:hAnsi="Verdana"/>
        </w:rPr>
      </w:pPr>
      <w:r>
        <w:rPr>
          <w:rFonts w:ascii="Verdana" w:hAnsi="Verdana"/>
        </w:rPr>
        <w:t xml:space="preserve">Clarion Housing – </w:t>
      </w:r>
      <w:hyperlink r:id="rId26" w:history="1">
        <w:r w:rsidR="00C30849" w:rsidRPr="00F30FE3">
          <w:rPr>
            <w:rStyle w:val="Hyperlink"/>
            <w:rFonts w:ascii="Verdana" w:hAnsi="Verdana"/>
          </w:rPr>
          <w:t>www.myclarionhousing.com</w:t>
        </w:r>
      </w:hyperlink>
    </w:p>
    <w:p w14:paraId="2A6F4811" w14:textId="77777777" w:rsidR="0036788A" w:rsidRDefault="0036788A" w:rsidP="002F2714">
      <w:pPr>
        <w:rPr>
          <w:rFonts w:ascii="Verdana" w:hAnsi="Verdana"/>
        </w:rPr>
      </w:pPr>
    </w:p>
    <w:p w14:paraId="1F76112F" w14:textId="77777777" w:rsidR="002F2714" w:rsidRDefault="002F2714" w:rsidP="002F2714">
      <w:pPr>
        <w:rPr>
          <w:rFonts w:ascii="Verdana" w:hAnsi="Verdana"/>
        </w:rPr>
      </w:pPr>
      <w:r>
        <w:rPr>
          <w:rFonts w:ascii="Verdana" w:hAnsi="Verdana"/>
        </w:rPr>
        <w:t xml:space="preserve">Friendship Care &amp; Housing – </w:t>
      </w:r>
      <w:hyperlink r:id="rId27" w:history="1">
        <w:r w:rsidRPr="00BB4D60">
          <w:rPr>
            <w:rStyle w:val="Hyperlink"/>
            <w:rFonts w:ascii="Verdana" w:hAnsi="Verdana"/>
          </w:rPr>
          <w:t>www.longhurst-group.org.uk</w:t>
        </w:r>
      </w:hyperlink>
    </w:p>
    <w:p w14:paraId="0F7DF1D9" w14:textId="77777777" w:rsidR="002F2714" w:rsidRDefault="002F2714" w:rsidP="002F2714">
      <w:pPr>
        <w:rPr>
          <w:rFonts w:ascii="Verdana" w:hAnsi="Verdana"/>
        </w:rPr>
      </w:pPr>
    </w:p>
    <w:p w14:paraId="59EA4E76" w14:textId="77777777" w:rsidR="002F2714" w:rsidRDefault="002F2714" w:rsidP="002F2714">
      <w:pPr>
        <w:rPr>
          <w:rFonts w:ascii="Verdana" w:hAnsi="Verdana"/>
        </w:rPr>
      </w:pPr>
      <w:r>
        <w:rPr>
          <w:rFonts w:ascii="Verdana" w:hAnsi="Verdana"/>
        </w:rPr>
        <w:t xml:space="preserve">Housing 21 – </w:t>
      </w:r>
      <w:hyperlink r:id="rId28" w:history="1">
        <w:r w:rsidR="0036788A" w:rsidRPr="00F30FE3">
          <w:rPr>
            <w:rStyle w:val="Hyperlink"/>
            <w:rFonts w:ascii="Verdana" w:hAnsi="Verdana"/>
          </w:rPr>
          <w:t>www.housing21.org.uk</w:t>
        </w:r>
      </w:hyperlink>
    </w:p>
    <w:p w14:paraId="0CD0E2AE" w14:textId="77777777" w:rsidR="002F2714" w:rsidRDefault="002F2714" w:rsidP="002F2714">
      <w:pPr>
        <w:rPr>
          <w:rFonts w:ascii="Verdana" w:hAnsi="Verdana"/>
        </w:rPr>
      </w:pPr>
    </w:p>
    <w:p w14:paraId="5EAEDE02" w14:textId="17CAE444" w:rsidR="00EE34DD" w:rsidRDefault="002F2714" w:rsidP="002F2714">
      <w:pPr>
        <w:rPr>
          <w:rStyle w:val="Hyperlink"/>
          <w:rFonts w:ascii="Verdana" w:hAnsi="Verdana"/>
        </w:rPr>
      </w:pPr>
      <w:r>
        <w:rPr>
          <w:rFonts w:ascii="Verdana" w:hAnsi="Verdana"/>
        </w:rPr>
        <w:t xml:space="preserve">Midland Heart – </w:t>
      </w:r>
      <w:hyperlink r:id="rId29" w:history="1">
        <w:r w:rsidRPr="00BB4D60">
          <w:rPr>
            <w:rStyle w:val="Hyperlink"/>
            <w:rFonts w:ascii="Verdana" w:hAnsi="Verdana"/>
          </w:rPr>
          <w:t>www.midlandheart.org.uk</w:t>
        </w:r>
      </w:hyperlink>
    </w:p>
    <w:p w14:paraId="7752163D" w14:textId="0BA13A90" w:rsidR="00EE34DD" w:rsidRDefault="00EE34DD" w:rsidP="002F2714">
      <w:pPr>
        <w:rPr>
          <w:rFonts w:ascii="Verdana" w:hAnsi="Verdana"/>
        </w:rPr>
      </w:pPr>
    </w:p>
    <w:p w14:paraId="293739E8" w14:textId="74CFECF2" w:rsidR="00EE34DD" w:rsidRDefault="00EE34DD" w:rsidP="002F2714">
      <w:pPr>
        <w:rPr>
          <w:rFonts w:ascii="Verdana" w:hAnsi="Verdana"/>
        </w:rPr>
      </w:pPr>
      <w:r>
        <w:rPr>
          <w:rFonts w:ascii="Verdana" w:hAnsi="Verdana"/>
        </w:rPr>
        <w:t>Orbit Housing Association Limited – www.orbit.org.uk</w:t>
      </w:r>
    </w:p>
    <w:p w14:paraId="28E18A07" w14:textId="77777777" w:rsidR="00C30849" w:rsidRDefault="00C30849" w:rsidP="00C30849">
      <w:pPr>
        <w:rPr>
          <w:rStyle w:val="Hyperlink"/>
          <w:rFonts w:ascii="Verdana" w:hAnsi="Verdana"/>
        </w:rPr>
      </w:pPr>
    </w:p>
    <w:p w14:paraId="6F78E89C" w14:textId="77777777" w:rsidR="00C30849" w:rsidRDefault="00C30849" w:rsidP="00C30849">
      <w:pPr>
        <w:rPr>
          <w:rStyle w:val="Hyperlink"/>
          <w:rFonts w:ascii="Verdana" w:hAnsi="Verdana"/>
        </w:rPr>
      </w:pPr>
      <w:r>
        <w:rPr>
          <w:rFonts w:ascii="Verdana" w:hAnsi="Verdana"/>
        </w:rPr>
        <w:t xml:space="preserve">Paragon Asra Housing – </w:t>
      </w:r>
      <w:hyperlink r:id="rId30" w:history="1">
        <w:r w:rsidRPr="00F30FE3">
          <w:rPr>
            <w:rStyle w:val="Hyperlink"/>
            <w:rFonts w:ascii="Verdana" w:hAnsi="Verdana"/>
          </w:rPr>
          <w:t>www.pahousing.co.uk</w:t>
        </w:r>
      </w:hyperlink>
    </w:p>
    <w:p w14:paraId="704EB349" w14:textId="1FED70B2" w:rsidR="00EE34DD" w:rsidRDefault="00EE34DD" w:rsidP="00C30849">
      <w:pPr>
        <w:rPr>
          <w:rStyle w:val="Hyperlink"/>
          <w:rFonts w:ascii="Verdana" w:hAnsi="Verdana"/>
        </w:rPr>
      </w:pPr>
    </w:p>
    <w:p w14:paraId="0C80A01C" w14:textId="0B05E7B6" w:rsidR="00C30849" w:rsidRDefault="00EE34DD" w:rsidP="00C30849">
      <w:pPr>
        <w:rPr>
          <w:rFonts w:ascii="Verdana" w:hAnsi="Verdana"/>
        </w:rPr>
      </w:pPr>
      <w:r>
        <w:rPr>
          <w:rFonts w:ascii="Verdana" w:hAnsi="Verdana"/>
        </w:rPr>
        <w:t>Platform Housing Association Limited – www.platformhg.com</w:t>
      </w:r>
    </w:p>
    <w:p w14:paraId="0E1B72EC" w14:textId="77777777" w:rsidR="00EE34DD" w:rsidRDefault="00EE34DD" w:rsidP="00C30849">
      <w:pPr>
        <w:rPr>
          <w:rFonts w:ascii="Verdana" w:hAnsi="Verdana"/>
        </w:rPr>
      </w:pPr>
    </w:p>
    <w:p w14:paraId="3D8B1A54" w14:textId="77777777" w:rsidR="002F2714" w:rsidRDefault="002F2714" w:rsidP="002F2714">
      <w:pPr>
        <w:rPr>
          <w:rFonts w:ascii="Verdana" w:hAnsi="Verdana"/>
        </w:rPr>
      </w:pPr>
      <w:r>
        <w:rPr>
          <w:rFonts w:ascii="Verdana" w:hAnsi="Verdana"/>
        </w:rPr>
        <w:t>Riverside G</w:t>
      </w:r>
      <w:r w:rsidR="00D522CB">
        <w:rPr>
          <w:rFonts w:ascii="Verdana" w:hAnsi="Verdana"/>
        </w:rPr>
        <w:t>roup</w:t>
      </w:r>
      <w:r>
        <w:rPr>
          <w:rFonts w:ascii="Verdana" w:hAnsi="Verdana"/>
        </w:rPr>
        <w:t xml:space="preserve"> – </w:t>
      </w:r>
      <w:hyperlink r:id="rId31" w:history="1">
        <w:r w:rsidRPr="00BF4BA0">
          <w:rPr>
            <w:rStyle w:val="Hyperlink"/>
            <w:rFonts w:ascii="Verdana" w:hAnsi="Verdana"/>
          </w:rPr>
          <w:t>www.riverside.org.uk</w:t>
        </w:r>
      </w:hyperlink>
    </w:p>
    <w:p w14:paraId="1C7DDF49" w14:textId="77777777" w:rsidR="002F2714" w:rsidRDefault="002F2714" w:rsidP="002F2714">
      <w:pPr>
        <w:rPr>
          <w:rFonts w:ascii="Verdana" w:hAnsi="Verdana"/>
        </w:rPr>
      </w:pPr>
    </w:p>
    <w:p w14:paraId="23EBB409" w14:textId="77777777" w:rsidR="002F2714" w:rsidRDefault="002F2714" w:rsidP="002F2714">
      <w:pPr>
        <w:rPr>
          <w:rFonts w:ascii="Verdana" w:hAnsi="Verdana"/>
        </w:rPr>
      </w:pPr>
      <w:r>
        <w:rPr>
          <w:rFonts w:ascii="Verdana" w:hAnsi="Verdana"/>
        </w:rPr>
        <w:t>Sanctuary</w:t>
      </w:r>
      <w:r w:rsidR="00D522CB">
        <w:rPr>
          <w:rFonts w:ascii="Verdana" w:hAnsi="Verdana"/>
        </w:rPr>
        <w:t xml:space="preserve"> Housing Association</w:t>
      </w:r>
      <w:r>
        <w:rPr>
          <w:rFonts w:ascii="Verdana" w:hAnsi="Verdana"/>
        </w:rPr>
        <w:t xml:space="preserve"> – </w:t>
      </w:r>
      <w:hyperlink r:id="rId32" w:history="1">
        <w:r w:rsidRPr="00BB4D60">
          <w:rPr>
            <w:rStyle w:val="Hyperlink"/>
            <w:rFonts w:ascii="Verdana" w:hAnsi="Verdana"/>
          </w:rPr>
          <w:t>www.sanctuary-group.co.uk</w:t>
        </w:r>
      </w:hyperlink>
    </w:p>
    <w:p w14:paraId="24667FCF" w14:textId="77777777" w:rsidR="002F2714" w:rsidRDefault="002F2714" w:rsidP="002F2714">
      <w:pPr>
        <w:rPr>
          <w:rFonts w:ascii="Verdana" w:hAnsi="Verdana"/>
        </w:rPr>
      </w:pPr>
    </w:p>
    <w:p w14:paraId="0B41E711" w14:textId="77777777" w:rsidR="00C30849" w:rsidRDefault="00C30849" w:rsidP="00C30849">
      <w:pPr>
        <w:rPr>
          <w:rFonts w:ascii="Verdana" w:hAnsi="Verdana"/>
        </w:rPr>
      </w:pPr>
      <w:r>
        <w:rPr>
          <w:rFonts w:ascii="Verdana" w:hAnsi="Verdana"/>
        </w:rPr>
        <w:t xml:space="preserve">Stonewater – </w:t>
      </w:r>
      <w:hyperlink r:id="rId33" w:history="1">
        <w:r w:rsidRPr="00F30FE3">
          <w:rPr>
            <w:rStyle w:val="Hyperlink"/>
            <w:rFonts w:ascii="Verdana" w:hAnsi="Verdana"/>
          </w:rPr>
          <w:t>www.stonewater.org</w:t>
        </w:r>
      </w:hyperlink>
    </w:p>
    <w:p w14:paraId="7A4A39DC" w14:textId="77777777" w:rsidR="00C30849" w:rsidRDefault="00C30849" w:rsidP="00C30849">
      <w:pPr>
        <w:rPr>
          <w:rFonts w:ascii="Verdana" w:hAnsi="Verdana"/>
        </w:rPr>
      </w:pPr>
    </w:p>
    <w:p w14:paraId="0C9AA017" w14:textId="77777777" w:rsidR="002F2714" w:rsidRDefault="002F2714" w:rsidP="002F2714">
      <w:pPr>
        <w:rPr>
          <w:rFonts w:ascii="Verdana" w:hAnsi="Verdana"/>
        </w:rPr>
      </w:pPr>
      <w:r>
        <w:rPr>
          <w:rFonts w:ascii="Verdana" w:hAnsi="Verdana"/>
        </w:rPr>
        <w:t xml:space="preserve">Warwickshire Rural Housing Association – </w:t>
      </w:r>
      <w:hyperlink r:id="rId34" w:history="1">
        <w:r w:rsidRPr="00BB4D60">
          <w:rPr>
            <w:rStyle w:val="Hyperlink"/>
            <w:rFonts w:ascii="Verdana" w:hAnsi="Verdana"/>
          </w:rPr>
          <w:t>www.warwickshirerha.org.uk</w:t>
        </w:r>
      </w:hyperlink>
    </w:p>
    <w:p w14:paraId="00040F9F" w14:textId="77777777" w:rsidR="00EE34DD" w:rsidRDefault="00EE34DD" w:rsidP="002F2714">
      <w:pPr>
        <w:rPr>
          <w:rFonts w:ascii="Verdana" w:hAnsi="Verdana"/>
        </w:rPr>
      </w:pPr>
    </w:p>
    <w:p w14:paraId="22FC4CE0" w14:textId="6E24863A" w:rsidR="002F2714" w:rsidRDefault="00EE34DD" w:rsidP="002F2714">
      <w:pPr>
        <w:rPr>
          <w:rFonts w:ascii="Verdana" w:hAnsi="Verdana"/>
        </w:rPr>
      </w:pPr>
      <w:r>
        <w:rPr>
          <w:rFonts w:ascii="Verdana" w:hAnsi="Verdana"/>
        </w:rPr>
        <w:t xml:space="preserve">Citizen Housing Association – </w:t>
      </w:r>
      <w:hyperlink r:id="rId35" w:history="1">
        <w:r w:rsidRPr="007D7F34">
          <w:rPr>
            <w:rStyle w:val="Hyperlink"/>
            <w:rFonts w:ascii="Verdana" w:hAnsi="Verdana"/>
          </w:rPr>
          <w:t>www.citizenhousing.org.uk</w:t>
        </w:r>
      </w:hyperlink>
    </w:p>
    <w:p w14:paraId="37BF684A" w14:textId="77777777" w:rsidR="00EE34DD" w:rsidRDefault="00EE34DD" w:rsidP="002F2714">
      <w:pPr>
        <w:rPr>
          <w:rFonts w:ascii="Verdana" w:hAnsi="Verdana"/>
        </w:rPr>
      </w:pPr>
    </w:p>
    <w:p w14:paraId="2D8657B3" w14:textId="77777777" w:rsidR="00285707" w:rsidRDefault="00285707" w:rsidP="002F2714">
      <w:pPr>
        <w:rPr>
          <w:rFonts w:ascii="Verdana" w:hAnsi="Verdana"/>
        </w:rPr>
      </w:pPr>
    </w:p>
    <w:p w14:paraId="2D0F3849" w14:textId="77777777" w:rsidR="00285707" w:rsidRDefault="00285707" w:rsidP="002F2714">
      <w:pPr>
        <w:rPr>
          <w:rFonts w:ascii="Verdana" w:hAnsi="Verdana"/>
        </w:rPr>
      </w:pPr>
    </w:p>
    <w:p w14:paraId="5DF7ECC2" w14:textId="77777777" w:rsidR="00285707" w:rsidRDefault="00285707" w:rsidP="002F2714">
      <w:pPr>
        <w:rPr>
          <w:rFonts w:ascii="Verdana" w:hAnsi="Verdana"/>
        </w:rPr>
      </w:pPr>
    </w:p>
    <w:p w14:paraId="3C911947" w14:textId="77777777" w:rsidR="00D616A1" w:rsidRDefault="00D616A1" w:rsidP="009A202D">
      <w:pPr>
        <w:tabs>
          <w:tab w:val="left" w:pos="467"/>
        </w:tabs>
        <w:rPr>
          <w:rFonts w:ascii="Verdana" w:hAnsi="Verdana"/>
        </w:rPr>
      </w:pPr>
    </w:p>
    <w:sectPr w:rsidR="00D616A1" w:rsidSect="005522F4">
      <w:headerReference w:type="even" r:id="rId36"/>
      <w:headerReference w:type="default" r:id="rId37"/>
      <w:footerReference w:type="even" r:id="rId38"/>
      <w:footerReference w:type="default" r:id="rId39"/>
      <w:headerReference w:type="first" r:id="rId40"/>
      <w:footerReference w:type="first" r:id="rId41"/>
      <w:pgSz w:w="11906" w:h="16838"/>
      <w:pgMar w:top="851" w:right="991"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8E974" w14:textId="77777777" w:rsidR="006C1A2C" w:rsidRDefault="006C1A2C">
      <w:r>
        <w:separator/>
      </w:r>
    </w:p>
  </w:endnote>
  <w:endnote w:type="continuationSeparator" w:id="0">
    <w:p w14:paraId="3DCE9A4C" w14:textId="77777777" w:rsidR="006C1A2C" w:rsidRDefault="006C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23C2" w14:textId="77777777" w:rsidR="00DD04AE" w:rsidRDefault="00DD04AE" w:rsidP="004E7D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19BF1D" w14:textId="77777777" w:rsidR="00DD04AE" w:rsidRDefault="00DD04AE" w:rsidP="004E7D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C9A5" w14:textId="77777777" w:rsidR="00DD04AE" w:rsidRDefault="00DD04AE" w:rsidP="004E7D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DE5">
      <w:rPr>
        <w:rStyle w:val="PageNumber"/>
        <w:noProof/>
      </w:rPr>
      <w:t>1</w:t>
    </w:r>
    <w:r>
      <w:rPr>
        <w:rStyle w:val="PageNumber"/>
      </w:rPr>
      <w:fldChar w:fldCharType="end"/>
    </w:r>
  </w:p>
  <w:p w14:paraId="6D2CC330" w14:textId="77777777" w:rsidR="00DD04AE" w:rsidRDefault="00DD04AE" w:rsidP="004E7D5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A2A9" w14:textId="77777777" w:rsidR="001A2C24" w:rsidRDefault="001A2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52125" w14:textId="77777777" w:rsidR="006C1A2C" w:rsidRDefault="006C1A2C">
      <w:r>
        <w:separator/>
      </w:r>
    </w:p>
  </w:footnote>
  <w:footnote w:type="continuationSeparator" w:id="0">
    <w:p w14:paraId="209DCA10" w14:textId="77777777" w:rsidR="006C1A2C" w:rsidRDefault="006C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F602" w14:textId="77777777" w:rsidR="001A2C24" w:rsidRDefault="001A2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ABDB" w14:textId="51584743" w:rsidR="001A2C24" w:rsidRDefault="001A2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1854" w14:textId="77777777" w:rsidR="001A2C24" w:rsidRDefault="001A2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A58"/>
    <w:multiLevelType w:val="multilevel"/>
    <w:tmpl w:val="10EA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C0616"/>
    <w:multiLevelType w:val="hybridMultilevel"/>
    <w:tmpl w:val="5E86B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4848"/>
    <w:multiLevelType w:val="hybridMultilevel"/>
    <w:tmpl w:val="4C3AAE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F72F8"/>
    <w:multiLevelType w:val="hybridMultilevel"/>
    <w:tmpl w:val="D1A64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B516E"/>
    <w:multiLevelType w:val="hybridMultilevel"/>
    <w:tmpl w:val="1E4E1E82"/>
    <w:lvl w:ilvl="0" w:tplc="0809000F">
      <w:start w:val="1"/>
      <w:numFmt w:val="decimal"/>
      <w:lvlText w:val="%1."/>
      <w:lvlJc w:val="left"/>
      <w:pPr>
        <w:ind w:left="720" w:hanging="360"/>
      </w:pPr>
      <w:rPr>
        <w:rFonts w:hint="default"/>
      </w:rPr>
    </w:lvl>
    <w:lvl w:ilvl="1" w:tplc="E2BAA954">
      <w:start w:val="1"/>
      <w:numFmt w:val="lowerRoman"/>
      <w:lvlText w:val="(%2)"/>
      <w:lvlJc w:val="left"/>
      <w:pPr>
        <w:ind w:left="2160" w:hanging="108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42BE8"/>
    <w:multiLevelType w:val="hybridMultilevel"/>
    <w:tmpl w:val="4BC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655D9"/>
    <w:multiLevelType w:val="hybridMultilevel"/>
    <w:tmpl w:val="3B6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A13EF"/>
    <w:multiLevelType w:val="hybridMultilevel"/>
    <w:tmpl w:val="F9F27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B5D36"/>
    <w:multiLevelType w:val="hybridMultilevel"/>
    <w:tmpl w:val="3EC0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16F0F"/>
    <w:multiLevelType w:val="hybridMultilevel"/>
    <w:tmpl w:val="CC2C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F5602"/>
    <w:multiLevelType w:val="hybridMultilevel"/>
    <w:tmpl w:val="83388B4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1DBD0A39"/>
    <w:multiLevelType w:val="multilevel"/>
    <w:tmpl w:val="9E48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D61460"/>
    <w:multiLevelType w:val="hybridMultilevel"/>
    <w:tmpl w:val="B3C8879E"/>
    <w:lvl w:ilvl="0" w:tplc="50E6D6D8">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434FF1"/>
    <w:multiLevelType w:val="hybridMultilevel"/>
    <w:tmpl w:val="29D08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B096C"/>
    <w:multiLevelType w:val="hybridMultilevel"/>
    <w:tmpl w:val="41525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8479D3"/>
    <w:multiLevelType w:val="multilevel"/>
    <w:tmpl w:val="BBFC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1D1F44"/>
    <w:multiLevelType w:val="hybridMultilevel"/>
    <w:tmpl w:val="38CC5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87D39"/>
    <w:multiLevelType w:val="hybridMultilevel"/>
    <w:tmpl w:val="11DA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53B0"/>
    <w:multiLevelType w:val="hybridMultilevel"/>
    <w:tmpl w:val="79400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71188"/>
    <w:multiLevelType w:val="hybridMultilevel"/>
    <w:tmpl w:val="E188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F2163"/>
    <w:multiLevelType w:val="hybridMultilevel"/>
    <w:tmpl w:val="2112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47964"/>
    <w:multiLevelType w:val="hybridMultilevel"/>
    <w:tmpl w:val="9000C0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944C76"/>
    <w:multiLevelType w:val="hybridMultilevel"/>
    <w:tmpl w:val="FF5E55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E44737"/>
    <w:multiLevelType w:val="hybridMultilevel"/>
    <w:tmpl w:val="75C0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141C6"/>
    <w:multiLevelType w:val="hybridMultilevel"/>
    <w:tmpl w:val="196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E5935"/>
    <w:multiLevelType w:val="hybridMultilevel"/>
    <w:tmpl w:val="BBF0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C2464"/>
    <w:multiLevelType w:val="hybridMultilevel"/>
    <w:tmpl w:val="D1DC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30E44"/>
    <w:multiLevelType w:val="hybridMultilevel"/>
    <w:tmpl w:val="06DA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34737"/>
    <w:multiLevelType w:val="multilevel"/>
    <w:tmpl w:val="448AB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5B0D43"/>
    <w:multiLevelType w:val="hybridMultilevel"/>
    <w:tmpl w:val="D752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45863"/>
    <w:multiLevelType w:val="hybridMultilevel"/>
    <w:tmpl w:val="F662967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5B905E10"/>
    <w:multiLevelType w:val="hybridMultilevel"/>
    <w:tmpl w:val="C828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56222"/>
    <w:multiLevelType w:val="hybridMultilevel"/>
    <w:tmpl w:val="13C4B2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949F9"/>
    <w:multiLevelType w:val="hybridMultilevel"/>
    <w:tmpl w:val="2550CDB0"/>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34" w15:restartNumberingAfterBreak="0">
    <w:nsid w:val="66021B67"/>
    <w:multiLevelType w:val="hybridMultilevel"/>
    <w:tmpl w:val="0AE0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F237F"/>
    <w:multiLevelType w:val="hybridMultilevel"/>
    <w:tmpl w:val="E286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7603DF"/>
    <w:multiLevelType w:val="hybridMultilevel"/>
    <w:tmpl w:val="47F6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A1147"/>
    <w:multiLevelType w:val="hybridMultilevel"/>
    <w:tmpl w:val="F6C6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444E9"/>
    <w:multiLevelType w:val="hybridMultilevel"/>
    <w:tmpl w:val="F9BE9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62295"/>
    <w:multiLevelType w:val="hybridMultilevel"/>
    <w:tmpl w:val="ACAE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F7E99"/>
    <w:multiLevelType w:val="hybridMultilevel"/>
    <w:tmpl w:val="F1EC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B55E07"/>
    <w:multiLevelType w:val="hybridMultilevel"/>
    <w:tmpl w:val="1AE0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C0594"/>
    <w:multiLevelType w:val="hybridMultilevel"/>
    <w:tmpl w:val="7FA4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F820BF"/>
    <w:multiLevelType w:val="hybridMultilevel"/>
    <w:tmpl w:val="0AA2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923B0"/>
    <w:multiLevelType w:val="hybridMultilevel"/>
    <w:tmpl w:val="C56A07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E0213E"/>
    <w:multiLevelType w:val="hybridMultilevel"/>
    <w:tmpl w:val="0C0ED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DA04F8"/>
    <w:multiLevelType w:val="hybridMultilevel"/>
    <w:tmpl w:val="9FACFC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D5457AE"/>
    <w:multiLevelType w:val="hybridMultilevel"/>
    <w:tmpl w:val="0DEC9A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E322A45"/>
    <w:multiLevelType w:val="hybridMultilevel"/>
    <w:tmpl w:val="9782015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62720449">
    <w:abstractNumId w:val="2"/>
  </w:num>
  <w:num w:numId="2" w16cid:durableId="478808342">
    <w:abstractNumId w:val="48"/>
  </w:num>
  <w:num w:numId="3" w16cid:durableId="536309815">
    <w:abstractNumId w:val="10"/>
  </w:num>
  <w:num w:numId="4" w16cid:durableId="175579641">
    <w:abstractNumId w:val="44"/>
  </w:num>
  <w:num w:numId="5" w16cid:durableId="2085950667">
    <w:abstractNumId w:val="47"/>
  </w:num>
  <w:num w:numId="6" w16cid:durableId="705301228">
    <w:abstractNumId w:val="21"/>
  </w:num>
  <w:num w:numId="7" w16cid:durableId="1918632917">
    <w:abstractNumId w:val="38"/>
  </w:num>
  <w:num w:numId="8" w16cid:durableId="826283960">
    <w:abstractNumId w:val="32"/>
  </w:num>
  <w:num w:numId="9" w16cid:durableId="1137796401">
    <w:abstractNumId w:val="3"/>
  </w:num>
  <w:num w:numId="10" w16cid:durableId="291445053">
    <w:abstractNumId w:val="30"/>
  </w:num>
  <w:num w:numId="11" w16cid:durableId="1312098976">
    <w:abstractNumId w:val="46"/>
  </w:num>
  <w:num w:numId="12" w16cid:durableId="1948656399">
    <w:abstractNumId w:val="7"/>
  </w:num>
  <w:num w:numId="13" w16cid:durableId="2120249884">
    <w:abstractNumId w:val="13"/>
  </w:num>
  <w:num w:numId="14" w16cid:durableId="942417304">
    <w:abstractNumId w:val="45"/>
  </w:num>
  <w:num w:numId="15" w16cid:durableId="1582371940">
    <w:abstractNumId w:val="18"/>
  </w:num>
  <w:num w:numId="16" w16cid:durableId="1423796991">
    <w:abstractNumId w:val="5"/>
  </w:num>
  <w:num w:numId="17" w16cid:durableId="434521006">
    <w:abstractNumId w:val="33"/>
  </w:num>
  <w:num w:numId="18" w16cid:durableId="150408696">
    <w:abstractNumId w:val="40"/>
  </w:num>
  <w:num w:numId="19" w16cid:durableId="527790229">
    <w:abstractNumId w:val="36"/>
  </w:num>
  <w:num w:numId="20" w16cid:durableId="1994092170">
    <w:abstractNumId w:val="17"/>
  </w:num>
  <w:num w:numId="21" w16cid:durableId="1839152053">
    <w:abstractNumId w:val="24"/>
  </w:num>
  <w:num w:numId="22" w16cid:durableId="257098559">
    <w:abstractNumId w:val="14"/>
  </w:num>
  <w:num w:numId="23" w16cid:durableId="74790392">
    <w:abstractNumId w:val="11"/>
  </w:num>
  <w:num w:numId="24" w16cid:durableId="1835608905">
    <w:abstractNumId w:val="35"/>
  </w:num>
  <w:num w:numId="25" w16cid:durableId="1415741415">
    <w:abstractNumId w:val="25"/>
  </w:num>
  <w:num w:numId="26" w16cid:durableId="565070927">
    <w:abstractNumId w:val="42"/>
  </w:num>
  <w:num w:numId="27" w16cid:durableId="1660617045">
    <w:abstractNumId w:val="4"/>
  </w:num>
  <w:num w:numId="28" w16cid:durableId="487331371">
    <w:abstractNumId w:val="39"/>
  </w:num>
  <w:num w:numId="29" w16cid:durableId="1987317184">
    <w:abstractNumId w:val="23"/>
  </w:num>
  <w:num w:numId="30" w16cid:durableId="1942570336">
    <w:abstractNumId w:val="9"/>
  </w:num>
  <w:num w:numId="31" w16cid:durableId="563376319">
    <w:abstractNumId w:val="27"/>
  </w:num>
  <w:num w:numId="32" w16cid:durableId="913779399">
    <w:abstractNumId w:val="43"/>
  </w:num>
  <w:num w:numId="33" w16cid:durableId="1288854841">
    <w:abstractNumId w:val="29"/>
  </w:num>
  <w:num w:numId="34" w16cid:durableId="1331327918">
    <w:abstractNumId w:val="8"/>
  </w:num>
  <w:num w:numId="35" w16cid:durableId="284240352">
    <w:abstractNumId w:val="34"/>
  </w:num>
  <w:num w:numId="36" w16cid:durableId="998535098">
    <w:abstractNumId w:val="20"/>
  </w:num>
  <w:num w:numId="37" w16cid:durableId="2000425030">
    <w:abstractNumId w:val="41"/>
  </w:num>
  <w:num w:numId="38" w16cid:durableId="1665206821">
    <w:abstractNumId w:val="19"/>
  </w:num>
  <w:num w:numId="39" w16cid:durableId="854535854">
    <w:abstractNumId w:val="37"/>
  </w:num>
  <w:num w:numId="40" w16cid:durableId="1132140078">
    <w:abstractNumId w:val="31"/>
  </w:num>
  <w:num w:numId="41" w16cid:durableId="1850177466">
    <w:abstractNumId w:val="15"/>
  </w:num>
  <w:num w:numId="42" w16cid:durableId="409814175">
    <w:abstractNumId w:val="6"/>
  </w:num>
  <w:num w:numId="43" w16cid:durableId="411584466">
    <w:abstractNumId w:val="28"/>
  </w:num>
  <w:num w:numId="44" w16cid:durableId="1215388989">
    <w:abstractNumId w:val="0"/>
  </w:num>
  <w:num w:numId="45" w16cid:durableId="1445345919">
    <w:abstractNumId w:val="26"/>
  </w:num>
  <w:num w:numId="46" w16cid:durableId="1008409187">
    <w:abstractNumId w:val="1"/>
  </w:num>
  <w:num w:numId="47" w16cid:durableId="251547734">
    <w:abstractNumId w:val="16"/>
  </w:num>
  <w:num w:numId="48" w16cid:durableId="1743332865">
    <w:abstractNumId w:val="12"/>
  </w:num>
  <w:num w:numId="49" w16cid:durableId="6947697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5F"/>
    <w:rsid w:val="000005E1"/>
    <w:rsid w:val="00005981"/>
    <w:rsid w:val="00010E32"/>
    <w:rsid w:val="00015EA7"/>
    <w:rsid w:val="00023DD6"/>
    <w:rsid w:val="00024BB4"/>
    <w:rsid w:val="000311EB"/>
    <w:rsid w:val="0003174E"/>
    <w:rsid w:val="0003181C"/>
    <w:rsid w:val="00032335"/>
    <w:rsid w:val="00032F41"/>
    <w:rsid w:val="000334DE"/>
    <w:rsid w:val="00033675"/>
    <w:rsid w:val="0003561E"/>
    <w:rsid w:val="000415DB"/>
    <w:rsid w:val="0004650D"/>
    <w:rsid w:val="000469AD"/>
    <w:rsid w:val="00047A7A"/>
    <w:rsid w:val="00051400"/>
    <w:rsid w:val="00057138"/>
    <w:rsid w:val="00057A11"/>
    <w:rsid w:val="000641FA"/>
    <w:rsid w:val="00067CC0"/>
    <w:rsid w:val="000704C2"/>
    <w:rsid w:val="000716DC"/>
    <w:rsid w:val="00071A4E"/>
    <w:rsid w:val="00071B1E"/>
    <w:rsid w:val="00081E85"/>
    <w:rsid w:val="000843EE"/>
    <w:rsid w:val="000858EE"/>
    <w:rsid w:val="00085B61"/>
    <w:rsid w:val="00086CD1"/>
    <w:rsid w:val="00087B9A"/>
    <w:rsid w:val="000936D2"/>
    <w:rsid w:val="000A06F7"/>
    <w:rsid w:val="000A64F5"/>
    <w:rsid w:val="000B4E75"/>
    <w:rsid w:val="000C068F"/>
    <w:rsid w:val="000C0D02"/>
    <w:rsid w:val="000C77DD"/>
    <w:rsid w:val="000D0621"/>
    <w:rsid w:val="000D4AB8"/>
    <w:rsid w:val="000E332B"/>
    <w:rsid w:val="000E3888"/>
    <w:rsid w:val="000F30B9"/>
    <w:rsid w:val="000F4F58"/>
    <w:rsid w:val="000F73BB"/>
    <w:rsid w:val="00101307"/>
    <w:rsid w:val="00102337"/>
    <w:rsid w:val="00102F57"/>
    <w:rsid w:val="001141CC"/>
    <w:rsid w:val="00120E3D"/>
    <w:rsid w:val="00125BBA"/>
    <w:rsid w:val="00126BBD"/>
    <w:rsid w:val="0012718A"/>
    <w:rsid w:val="00133D02"/>
    <w:rsid w:val="001355DF"/>
    <w:rsid w:val="00135AD7"/>
    <w:rsid w:val="00135DC2"/>
    <w:rsid w:val="00142226"/>
    <w:rsid w:val="00142623"/>
    <w:rsid w:val="001443D8"/>
    <w:rsid w:val="00145A75"/>
    <w:rsid w:val="00150ADD"/>
    <w:rsid w:val="00151CA9"/>
    <w:rsid w:val="001539D9"/>
    <w:rsid w:val="00153CE6"/>
    <w:rsid w:val="00153E4D"/>
    <w:rsid w:val="00154026"/>
    <w:rsid w:val="0017311F"/>
    <w:rsid w:val="00176B1C"/>
    <w:rsid w:val="00177C82"/>
    <w:rsid w:val="0018430C"/>
    <w:rsid w:val="001865D6"/>
    <w:rsid w:val="001876C0"/>
    <w:rsid w:val="0018783D"/>
    <w:rsid w:val="00191E30"/>
    <w:rsid w:val="00194576"/>
    <w:rsid w:val="001A0A08"/>
    <w:rsid w:val="001A263F"/>
    <w:rsid w:val="001A2C24"/>
    <w:rsid w:val="001B13F3"/>
    <w:rsid w:val="001B263C"/>
    <w:rsid w:val="001B30D0"/>
    <w:rsid w:val="001B35D3"/>
    <w:rsid w:val="001B3C8C"/>
    <w:rsid w:val="001B7892"/>
    <w:rsid w:val="001C1477"/>
    <w:rsid w:val="001C5BA3"/>
    <w:rsid w:val="001E4679"/>
    <w:rsid w:val="001E6A70"/>
    <w:rsid w:val="001E7502"/>
    <w:rsid w:val="001F10F8"/>
    <w:rsid w:val="001F10FB"/>
    <w:rsid w:val="001F58B9"/>
    <w:rsid w:val="001F7F73"/>
    <w:rsid w:val="00202206"/>
    <w:rsid w:val="00202BB0"/>
    <w:rsid w:val="002048AC"/>
    <w:rsid w:val="00212037"/>
    <w:rsid w:val="002122E0"/>
    <w:rsid w:val="00213CB5"/>
    <w:rsid w:val="00215EFF"/>
    <w:rsid w:val="002243AE"/>
    <w:rsid w:val="00225CF6"/>
    <w:rsid w:val="002307B9"/>
    <w:rsid w:val="002338AF"/>
    <w:rsid w:val="00236ADB"/>
    <w:rsid w:val="00240659"/>
    <w:rsid w:val="00243A79"/>
    <w:rsid w:val="0024648D"/>
    <w:rsid w:val="0025703E"/>
    <w:rsid w:val="00257866"/>
    <w:rsid w:val="00260DE5"/>
    <w:rsid w:val="00264179"/>
    <w:rsid w:val="00270BF0"/>
    <w:rsid w:val="00270D4E"/>
    <w:rsid w:val="00272AE9"/>
    <w:rsid w:val="0027351B"/>
    <w:rsid w:val="00280DA1"/>
    <w:rsid w:val="002826A5"/>
    <w:rsid w:val="002842D6"/>
    <w:rsid w:val="00285707"/>
    <w:rsid w:val="00286D56"/>
    <w:rsid w:val="00293E5A"/>
    <w:rsid w:val="002A20B2"/>
    <w:rsid w:val="002A232C"/>
    <w:rsid w:val="002A40B4"/>
    <w:rsid w:val="002B4D54"/>
    <w:rsid w:val="002B5E91"/>
    <w:rsid w:val="002C08D9"/>
    <w:rsid w:val="002C133D"/>
    <w:rsid w:val="002C2C86"/>
    <w:rsid w:val="002D149A"/>
    <w:rsid w:val="002E23DB"/>
    <w:rsid w:val="002E25D8"/>
    <w:rsid w:val="002E760A"/>
    <w:rsid w:val="002F0CE4"/>
    <w:rsid w:val="002F16D9"/>
    <w:rsid w:val="002F2714"/>
    <w:rsid w:val="00302F4F"/>
    <w:rsid w:val="00303034"/>
    <w:rsid w:val="0030692B"/>
    <w:rsid w:val="003072E3"/>
    <w:rsid w:val="00310CDE"/>
    <w:rsid w:val="00312E97"/>
    <w:rsid w:val="0032028B"/>
    <w:rsid w:val="003222D5"/>
    <w:rsid w:val="00323DCD"/>
    <w:rsid w:val="00324128"/>
    <w:rsid w:val="00324700"/>
    <w:rsid w:val="00327651"/>
    <w:rsid w:val="00331F16"/>
    <w:rsid w:val="00332B25"/>
    <w:rsid w:val="003344A0"/>
    <w:rsid w:val="00340CB0"/>
    <w:rsid w:val="0034494B"/>
    <w:rsid w:val="00345F86"/>
    <w:rsid w:val="00350EC4"/>
    <w:rsid w:val="00351430"/>
    <w:rsid w:val="00351737"/>
    <w:rsid w:val="00352F97"/>
    <w:rsid w:val="003530BB"/>
    <w:rsid w:val="00354829"/>
    <w:rsid w:val="00354C5C"/>
    <w:rsid w:val="00363934"/>
    <w:rsid w:val="00363FD0"/>
    <w:rsid w:val="00364040"/>
    <w:rsid w:val="003672DB"/>
    <w:rsid w:val="0036788A"/>
    <w:rsid w:val="00371724"/>
    <w:rsid w:val="00380AC7"/>
    <w:rsid w:val="00381761"/>
    <w:rsid w:val="00383A80"/>
    <w:rsid w:val="0039295D"/>
    <w:rsid w:val="00396789"/>
    <w:rsid w:val="003A02F5"/>
    <w:rsid w:val="003A138D"/>
    <w:rsid w:val="003A1E46"/>
    <w:rsid w:val="003A2295"/>
    <w:rsid w:val="003A3DBB"/>
    <w:rsid w:val="003A5220"/>
    <w:rsid w:val="003A6FF1"/>
    <w:rsid w:val="003A7A35"/>
    <w:rsid w:val="003B3FF4"/>
    <w:rsid w:val="003B64FB"/>
    <w:rsid w:val="003B7721"/>
    <w:rsid w:val="003C14D0"/>
    <w:rsid w:val="003C4BA0"/>
    <w:rsid w:val="003C52E4"/>
    <w:rsid w:val="003D0ED0"/>
    <w:rsid w:val="003D2A1F"/>
    <w:rsid w:val="003D4617"/>
    <w:rsid w:val="003E0BD1"/>
    <w:rsid w:val="003E3A5E"/>
    <w:rsid w:val="003E6A8A"/>
    <w:rsid w:val="003F382A"/>
    <w:rsid w:val="004041AC"/>
    <w:rsid w:val="004101B1"/>
    <w:rsid w:val="00413261"/>
    <w:rsid w:val="00414A78"/>
    <w:rsid w:val="00415546"/>
    <w:rsid w:val="00423C81"/>
    <w:rsid w:val="00425FB5"/>
    <w:rsid w:val="00426C9F"/>
    <w:rsid w:val="004310DF"/>
    <w:rsid w:val="0043121B"/>
    <w:rsid w:val="004318D6"/>
    <w:rsid w:val="004347BF"/>
    <w:rsid w:val="00436985"/>
    <w:rsid w:val="00436993"/>
    <w:rsid w:val="00437492"/>
    <w:rsid w:val="00437721"/>
    <w:rsid w:val="00440A8E"/>
    <w:rsid w:val="00441B24"/>
    <w:rsid w:val="00442041"/>
    <w:rsid w:val="0044467D"/>
    <w:rsid w:val="0045114A"/>
    <w:rsid w:val="00453401"/>
    <w:rsid w:val="004608AF"/>
    <w:rsid w:val="00464C0B"/>
    <w:rsid w:val="00464C85"/>
    <w:rsid w:val="00467DE1"/>
    <w:rsid w:val="004725B3"/>
    <w:rsid w:val="00474FE0"/>
    <w:rsid w:val="004776E5"/>
    <w:rsid w:val="00480646"/>
    <w:rsid w:val="004815BF"/>
    <w:rsid w:val="00482290"/>
    <w:rsid w:val="00487F17"/>
    <w:rsid w:val="00496656"/>
    <w:rsid w:val="004A0181"/>
    <w:rsid w:val="004A0CBC"/>
    <w:rsid w:val="004A157C"/>
    <w:rsid w:val="004A1ABE"/>
    <w:rsid w:val="004A354E"/>
    <w:rsid w:val="004A4A34"/>
    <w:rsid w:val="004A59D9"/>
    <w:rsid w:val="004A6B56"/>
    <w:rsid w:val="004B381A"/>
    <w:rsid w:val="004C0681"/>
    <w:rsid w:val="004C17BE"/>
    <w:rsid w:val="004C65E5"/>
    <w:rsid w:val="004D0B1E"/>
    <w:rsid w:val="004D31AF"/>
    <w:rsid w:val="004D5F22"/>
    <w:rsid w:val="004D6928"/>
    <w:rsid w:val="004D7FB0"/>
    <w:rsid w:val="004E1CBD"/>
    <w:rsid w:val="004E7D5F"/>
    <w:rsid w:val="004F0165"/>
    <w:rsid w:val="004F6489"/>
    <w:rsid w:val="005003DA"/>
    <w:rsid w:val="00501A57"/>
    <w:rsid w:val="00507958"/>
    <w:rsid w:val="00507EEA"/>
    <w:rsid w:val="0051230F"/>
    <w:rsid w:val="005139A2"/>
    <w:rsid w:val="0051411B"/>
    <w:rsid w:val="00516562"/>
    <w:rsid w:val="00517F8A"/>
    <w:rsid w:val="00525BFD"/>
    <w:rsid w:val="00526A50"/>
    <w:rsid w:val="00546DFE"/>
    <w:rsid w:val="005522F4"/>
    <w:rsid w:val="00552A0D"/>
    <w:rsid w:val="00555C9E"/>
    <w:rsid w:val="00556946"/>
    <w:rsid w:val="00561C71"/>
    <w:rsid w:val="00562AA9"/>
    <w:rsid w:val="005633B2"/>
    <w:rsid w:val="005669C2"/>
    <w:rsid w:val="0057288D"/>
    <w:rsid w:val="00573D78"/>
    <w:rsid w:val="005758A4"/>
    <w:rsid w:val="0057606B"/>
    <w:rsid w:val="00577152"/>
    <w:rsid w:val="00583667"/>
    <w:rsid w:val="00583DF1"/>
    <w:rsid w:val="005843B0"/>
    <w:rsid w:val="00586DCB"/>
    <w:rsid w:val="005A42DB"/>
    <w:rsid w:val="005A7CCF"/>
    <w:rsid w:val="005B035D"/>
    <w:rsid w:val="005B240E"/>
    <w:rsid w:val="005B6AD2"/>
    <w:rsid w:val="005C6392"/>
    <w:rsid w:val="005C67EF"/>
    <w:rsid w:val="005D11D9"/>
    <w:rsid w:val="005D377B"/>
    <w:rsid w:val="005E02E7"/>
    <w:rsid w:val="005F0391"/>
    <w:rsid w:val="005F35D1"/>
    <w:rsid w:val="00602476"/>
    <w:rsid w:val="00603AAD"/>
    <w:rsid w:val="006041F7"/>
    <w:rsid w:val="006045DB"/>
    <w:rsid w:val="00606251"/>
    <w:rsid w:val="006161CB"/>
    <w:rsid w:val="00616B06"/>
    <w:rsid w:val="0062016A"/>
    <w:rsid w:val="00631A1E"/>
    <w:rsid w:val="00631CA4"/>
    <w:rsid w:val="00631F9E"/>
    <w:rsid w:val="00632042"/>
    <w:rsid w:val="00632065"/>
    <w:rsid w:val="0063488B"/>
    <w:rsid w:val="00637037"/>
    <w:rsid w:val="00637936"/>
    <w:rsid w:val="00640639"/>
    <w:rsid w:val="006477CB"/>
    <w:rsid w:val="0065560F"/>
    <w:rsid w:val="00661B6C"/>
    <w:rsid w:val="0066570B"/>
    <w:rsid w:val="00665D70"/>
    <w:rsid w:val="0067393C"/>
    <w:rsid w:val="00674EE9"/>
    <w:rsid w:val="00675716"/>
    <w:rsid w:val="0068050B"/>
    <w:rsid w:val="00682AB0"/>
    <w:rsid w:val="00685B34"/>
    <w:rsid w:val="00690360"/>
    <w:rsid w:val="006A4B7D"/>
    <w:rsid w:val="006A6915"/>
    <w:rsid w:val="006B06D2"/>
    <w:rsid w:val="006B1F43"/>
    <w:rsid w:val="006C0F4F"/>
    <w:rsid w:val="006C1A2C"/>
    <w:rsid w:val="006C4FB0"/>
    <w:rsid w:val="006C51E3"/>
    <w:rsid w:val="006C6941"/>
    <w:rsid w:val="006C79A8"/>
    <w:rsid w:val="006D2DF4"/>
    <w:rsid w:val="006D7E9D"/>
    <w:rsid w:val="006E2DC0"/>
    <w:rsid w:val="006E6383"/>
    <w:rsid w:val="006E7AA6"/>
    <w:rsid w:val="006F5E5D"/>
    <w:rsid w:val="006F6FBC"/>
    <w:rsid w:val="006F7733"/>
    <w:rsid w:val="007012BC"/>
    <w:rsid w:val="00707B78"/>
    <w:rsid w:val="0071344C"/>
    <w:rsid w:val="007157F4"/>
    <w:rsid w:val="00720C04"/>
    <w:rsid w:val="0072414A"/>
    <w:rsid w:val="0072592D"/>
    <w:rsid w:val="00725DDF"/>
    <w:rsid w:val="0073548E"/>
    <w:rsid w:val="007363DD"/>
    <w:rsid w:val="007403A7"/>
    <w:rsid w:val="0074256A"/>
    <w:rsid w:val="007436C3"/>
    <w:rsid w:val="00743763"/>
    <w:rsid w:val="00744066"/>
    <w:rsid w:val="007460F1"/>
    <w:rsid w:val="00746757"/>
    <w:rsid w:val="007524B4"/>
    <w:rsid w:val="00754511"/>
    <w:rsid w:val="007549A6"/>
    <w:rsid w:val="00755A5D"/>
    <w:rsid w:val="00760F41"/>
    <w:rsid w:val="00763184"/>
    <w:rsid w:val="00765418"/>
    <w:rsid w:val="00771B1B"/>
    <w:rsid w:val="00776C05"/>
    <w:rsid w:val="007775C9"/>
    <w:rsid w:val="007814B0"/>
    <w:rsid w:val="00786EE7"/>
    <w:rsid w:val="00787FF6"/>
    <w:rsid w:val="00791778"/>
    <w:rsid w:val="00796B12"/>
    <w:rsid w:val="007977C9"/>
    <w:rsid w:val="007A6B65"/>
    <w:rsid w:val="007B4932"/>
    <w:rsid w:val="007B577C"/>
    <w:rsid w:val="007B6307"/>
    <w:rsid w:val="007C1157"/>
    <w:rsid w:val="007C25DD"/>
    <w:rsid w:val="007C2B7D"/>
    <w:rsid w:val="007C3653"/>
    <w:rsid w:val="007C59AA"/>
    <w:rsid w:val="007D3A4D"/>
    <w:rsid w:val="007D47DB"/>
    <w:rsid w:val="007D5787"/>
    <w:rsid w:val="007D6F9C"/>
    <w:rsid w:val="007D7B58"/>
    <w:rsid w:val="007E188D"/>
    <w:rsid w:val="007E2A2E"/>
    <w:rsid w:val="007E4BAF"/>
    <w:rsid w:val="007E4C2F"/>
    <w:rsid w:val="007E5002"/>
    <w:rsid w:val="007E6933"/>
    <w:rsid w:val="007F0398"/>
    <w:rsid w:val="007F11D9"/>
    <w:rsid w:val="007F68DA"/>
    <w:rsid w:val="00803B64"/>
    <w:rsid w:val="00804AF0"/>
    <w:rsid w:val="0080510E"/>
    <w:rsid w:val="00806A31"/>
    <w:rsid w:val="0081761A"/>
    <w:rsid w:val="008225D1"/>
    <w:rsid w:val="00822874"/>
    <w:rsid w:val="00825123"/>
    <w:rsid w:val="00825976"/>
    <w:rsid w:val="00831FD8"/>
    <w:rsid w:val="008360D9"/>
    <w:rsid w:val="0084315F"/>
    <w:rsid w:val="00843A7E"/>
    <w:rsid w:val="00853B6F"/>
    <w:rsid w:val="00871D52"/>
    <w:rsid w:val="00873A6A"/>
    <w:rsid w:val="0087604F"/>
    <w:rsid w:val="00883932"/>
    <w:rsid w:val="008842F5"/>
    <w:rsid w:val="00885A17"/>
    <w:rsid w:val="0088777A"/>
    <w:rsid w:val="008949BE"/>
    <w:rsid w:val="00897247"/>
    <w:rsid w:val="00897CBB"/>
    <w:rsid w:val="008A1617"/>
    <w:rsid w:val="008B0D42"/>
    <w:rsid w:val="008B0D89"/>
    <w:rsid w:val="008B6496"/>
    <w:rsid w:val="008C21AA"/>
    <w:rsid w:val="008D0247"/>
    <w:rsid w:val="008D5D53"/>
    <w:rsid w:val="008D6FD7"/>
    <w:rsid w:val="008E56D2"/>
    <w:rsid w:val="008E5E26"/>
    <w:rsid w:val="008F48B1"/>
    <w:rsid w:val="008F5D8B"/>
    <w:rsid w:val="008F7C18"/>
    <w:rsid w:val="00900717"/>
    <w:rsid w:val="00901496"/>
    <w:rsid w:val="00905F6E"/>
    <w:rsid w:val="00915395"/>
    <w:rsid w:val="0092224F"/>
    <w:rsid w:val="009233FD"/>
    <w:rsid w:val="00930495"/>
    <w:rsid w:val="0093783B"/>
    <w:rsid w:val="00943267"/>
    <w:rsid w:val="00943DBA"/>
    <w:rsid w:val="00947825"/>
    <w:rsid w:val="00947FEF"/>
    <w:rsid w:val="00951A6C"/>
    <w:rsid w:val="00955CD5"/>
    <w:rsid w:val="00956E3D"/>
    <w:rsid w:val="009603B4"/>
    <w:rsid w:val="00963205"/>
    <w:rsid w:val="00964E38"/>
    <w:rsid w:val="00965AFF"/>
    <w:rsid w:val="00975F41"/>
    <w:rsid w:val="00976585"/>
    <w:rsid w:val="00984B8E"/>
    <w:rsid w:val="009916A6"/>
    <w:rsid w:val="00994153"/>
    <w:rsid w:val="009A202D"/>
    <w:rsid w:val="009A2648"/>
    <w:rsid w:val="009A423F"/>
    <w:rsid w:val="009A7601"/>
    <w:rsid w:val="009B03CF"/>
    <w:rsid w:val="009B0E9F"/>
    <w:rsid w:val="009B745E"/>
    <w:rsid w:val="009C4DE6"/>
    <w:rsid w:val="009C59FC"/>
    <w:rsid w:val="009E13FC"/>
    <w:rsid w:val="00A01D29"/>
    <w:rsid w:val="00A076EA"/>
    <w:rsid w:val="00A112C2"/>
    <w:rsid w:val="00A13BFF"/>
    <w:rsid w:val="00A14683"/>
    <w:rsid w:val="00A1589D"/>
    <w:rsid w:val="00A320E2"/>
    <w:rsid w:val="00A33F9B"/>
    <w:rsid w:val="00A35552"/>
    <w:rsid w:val="00A44DC4"/>
    <w:rsid w:val="00A5744A"/>
    <w:rsid w:val="00A61E74"/>
    <w:rsid w:val="00A63AA2"/>
    <w:rsid w:val="00A66496"/>
    <w:rsid w:val="00A733AF"/>
    <w:rsid w:val="00A7346E"/>
    <w:rsid w:val="00A7661A"/>
    <w:rsid w:val="00A76C67"/>
    <w:rsid w:val="00A84D44"/>
    <w:rsid w:val="00A85943"/>
    <w:rsid w:val="00A92C7B"/>
    <w:rsid w:val="00A9779D"/>
    <w:rsid w:val="00AA1B4A"/>
    <w:rsid w:val="00AA2551"/>
    <w:rsid w:val="00AA2BD0"/>
    <w:rsid w:val="00AB1257"/>
    <w:rsid w:val="00AB2453"/>
    <w:rsid w:val="00AB4D4C"/>
    <w:rsid w:val="00AC127D"/>
    <w:rsid w:val="00AC40E5"/>
    <w:rsid w:val="00AC78AD"/>
    <w:rsid w:val="00AD2A18"/>
    <w:rsid w:val="00AD4F1D"/>
    <w:rsid w:val="00AD7196"/>
    <w:rsid w:val="00AE08A8"/>
    <w:rsid w:val="00AE281F"/>
    <w:rsid w:val="00AE5719"/>
    <w:rsid w:val="00AF148A"/>
    <w:rsid w:val="00AF5D80"/>
    <w:rsid w:val="00B02D5C"/>
    <w:rsid w:val="00B0362D"/>
    <w:rsid w:val="00B03F9E"/>
    <w:rsid w:val="00B14135"/>
    <w:rsid w:val="00B3207C"/>
    <w:rsid w:val="00B33DF1"/>
    <w:rsid w:val="00B44AED"/>
    <w:rsid w:val="00B45273"/>
    <w:rsid w:val="00B47EA6"/>
    <w:rsid w:val="00B47EAB"/>
    <w:rsid w:val="00B51C14"/>
    <w:rsid w:val="00B62FE3"/>
    <w:rsid w:val="00B63353"/>
    <w:rsid w:val="00B647B7"/>
    <w:rsid w:val="00B64E17"/>
    <w:rsid w:val="00B6557C"/>
    <w:rsid w:val="00B66A6A"/>
    <w:rsid w:val="00B71E67"/>
    <w:rsid w:val="00B72524"/>
    <w:rsid w:val="00B72EEB"/>
    <w:rsid w:val="00B77D23"/>
    <w:rsid w:val="00B80B18"/>
    <w:rsid w:val="00B8387A"/>
    <w:rsid w:val="00B90434"/>
    <w:rsid w:val="00B94464"/>
    <w:rsid w:val="00B94A01"/>
    <w:rsid w:val="00BA3076"/>
    <w:rsid w:val="00BA350A"/>
    <w:rsid w:val="00BA5EC3"/>
    <w:rsid w:val="00BA649A"/>
    <w:rsid w:val="00BA6AEB"/>
    <w:rsid w:val="00BA7A40"/>
    <w:rsid w:val="00BB0307"/>
    <w:rsid w:val="00BB4543"/>
    <w:rsid w:val="00BB7171"/>
    <w:rsid w:val="00BC0C13"/>
    <w:rsid w:val="00BC115F"/>
    <w:rsid w:val="00BC6E78"/>
    <w:rsid w:val="00BD63FE"/>
    <w:rsid w:val="00BE079E"/>
    <w:rsid w:val="00BF1305"/>
    <w:rsid w:val="00BF250B"/>
    <w:rsid w:val="00BF4BE1"/>
    <w:rsid w:val="00BF78E6"/>
    <w:rsid w:val="00C00A70"/>
    <w:rsid w:val="00C01649"/>
    <w:rsid w:val="00C036FB"/>
    <w:rsid w:val="00C05946"/>
    <w:rsid w:val="00C22FC5"/>
    <w:rsid w:val="00C2476D"/>
    <w:rsid w:val="00C24F21"/>
    <w:rsid w:val="00C3078E"/>
    <w:rsid w:val="00C30849"/>
    <w:rsid w:val="00C308B1"/>
    <w:rsid w:val="00C33459"/>
    <w:rsid w:val="00C366FF"/>
    <w:rsid w:val="00C379EC"/>
    <w:rsid w:val="00C404E2"/>
    <w:rsid w:val="00C53900"/>
    <w:rsid w:val="00C55F24"/>
    <w:rsid w:val="00C6159D"/>
    <w:rsid w:val="00C61C3E"/>
    <w:rsid w:val="00C64760"/>
    <w:rsid w:val="00C6570E"/>
    <w:rsid w:val="00C66781"/>
    <w:rsid w:val="00C703C8"/>
    <w:rsid w:val="00C7292D"/>
    <w:rsid w:val="00C741BA"/>
    <w:rsid w:val="00C77FD0"/>
    <w:rsid w:val="00C802B7"/>
    <w:rsid w:val="00C804CF"/>
    <w:rsid w:val="00C81E93"/>
    <w:rsid w:val="00C9376E"/>
    <w:rsid w:val="00C93E1D"/>
    <w:rsid w:val="00C97AEC"/>
    <w:rsid w:val="00CA23DA"/>
    <w:rsid w:val="00CA2431"/>
    <w:rsid w:val="00CA74CD"/>
    <w:rsid w:val="00CB1B69"/>
    <w:rsid w:val="00CB3D27"/>
    <w:rsid w:val="00CB3F7C"/>
    <w:rsid w:val="00CB7340"/>
    <w:rsid w:val="00CC0124"/>
    <w:rsid w:val="00CC23E7"/>
    <w:rsid w:val="00CC2ED3"/>
    <w:rsid w:val="00CC32C3"/>
    <w:rsid w:val="00CC5227"/>
    <w:rsid w:val="00CC5BC4"/>
    <w:rsid w:val="00CC79F0"/>
    <w:rsid w:val="00CD00DA"/>
    <w:rsid w:val="00CD2CD0"/>
    <w:rsid w:val="00CD588E"/>
    <w:rsid w:val="00CD65F8"/>
    <w:rsid w:val="00CE047A"/>
    <w:rsid w:val="00CE1BBA"/>
    <w:rsid w:val="00CE5F85"/>
    <w:rsid w:val="00CE7365"/>
    <w:rsid w:val="00CF21C7"/>
    <w:rsid w:val="00D03DF0"/>
    <w:rsid w:val="00D066A7"/>
    <w:rsid w:val="00D2732E"/>
    <w:rsid w:val="00D27370"/>
    <w:rsid w:val="00D27FCC"/>
    <w:rsid w:val="00D32CA6"/>
    <w:rsid w:val="00D35013"/>
    <w:rsid w:val="00D36441"/>
    <w:rsid w:val="00D36C9A"/>
    <w:rsid w:val="00D40328"/>
    <w:rsid w:val="00D44993"/>
    <w:rsid w:val="00D4556C"/>
    <w:rsid w:val="00D51BDC"/>
    <w:rsid w:val="00D522CB"/>
    <w:rsid w:val="00D529CC"/>
    <w:rsid w:val="00D6028C"/>
    <w:rsid w:val="00D616A1"/>
    <w:rsid w:val="00D708FE"/>
    <w:rsid w:val="00D71CF4"/>
    <w:rsid w:val="00D73288"/>
    <w:rsid w:val="00D811C9"/>
    <w:rsid w:val="00D87250"/>
    <w:rsid w:val="00D954BA"/>
    <w:rsid w:val="00D95BE2"/>
    <w:rsid w:val="00DA7C07"/>
    <w:rsid w:val="00DB07E6"/>
    <w:rsid w:val="00DB13C8"/>
    <w:rsid w:val="00DB1BB4"/>
    <w:rsid w:val="00DB43B0"/>
    <w:rsid w:val="00DC29F6"/>
    <w:rsid w:val="00DC5E29"/>
    <w:rsid w:val="00DC6F67"/>
    <w:rsid w:val="00DD04AE"/>
    <w:rsid w:val="00DD36DD"/>
    <w:rsid w:val="00DD5E32"/>
    <w:rsid w:val="00DD7DAB"/>
    <w:rsid w:val="00DF00A9"/>
    <w:rsid w:val="00DF06DF"/>
    <w:rsid w:val="00DF12BF"/>
    <w:rsid w:val="00DF45AE"/>
    <w:rsid w:val="00E00E5A"/>
    <w:rsid w:val="00E058A7"/>
    <w:rsid w:val="00E05F73"/>
    <w:rsid w:val="00E07B93"/>
    <w:rsid w:val="00E14DA7"/>
    <w:rsid w:val="00E159FE"/>
    <w:rsid w:val="00E16072"/>
    <w:rsid w:val="00E1685F"/>
    <w:rsid w:val="00E21C04"/>
    <w:rsid w:val="00E250A7"/>
    <w:rsid w:val="00E324D8"/>
    <w:rsid w:val="00E33365"/>
    <w:rsid w:val="00E33BFF"/>
    <w:rsid w:val="00E33CE7"/>
    <w:rsid w:val="00E33DC9"/>
    <w:rsid w:val="00E35785"/>
    <w:rsid w:val="00E366F8"/>
    <w:rsid w:val="00E40664"/>
    <w:rsid w:val="00E40DCC"/>
    <w:rsid w:val="00E43294"/>
    <w:rsid w:val="00E43DD2"/>
    <w:rsid w:val="00E4504D"/>
    <w:rsid w:val="00E47C7D"/>
    <w:rsid w:val="00E52F9D"/>
    <w:rsid w:val="00E5783D"/>
    <w:rsid w:val="00E62BAA"/>
    <w:rsid w:val="00E737CB"/>
    <w:rsid w:val="00E73D34"/>
    <w:rsid w:val="00E75D9F"/>
    <w:rsid w:val="00E8456A"/>
    <w:rsid w:val="00E86B9A"/>
    <w:rsid w:val="00E87DC4"/>
    <w:rsid w:val="00E9765F"/>
    <w:rsid w:val="00EA0E01"/>
    <w:rsid w:val="00EA7831"/>
    <w:rsid w:val="00EA78DA"/>
    <w:rsid w:val="00EB0FAD"/>
    <w:rsid w:val="00EB24A5"/>
    <w:rsid w:val="00EB5C7F"/>
    <w:rsid w:val="00EB6F03"/>
    <w:rsid w:val="00EC7334"/>
    <w:rsid w:val="00EC794E"/>
    <w:rsid w:val="00EC7CED"/>
    <w:rsid w:val="00ED0E71"/>
    <w:rsid w:val="00EE34DD"/>
    <w:rsid w:val="00EE660E"/>
    <w:rsid w:val="00EF14AB"/>
    <w:rsid w:val="00EF1AFC"/>
    <w:rsid w:val="00EF1FEE"/>
    <w:rsid w:val="00EF2F4A"/>
    <w:rsid w:val="00EF30E9"/>
    <w:rsid w:val="00F01D14"/>
    <w:rsid w:val="00F11DCD"/>
    <w:rsid w:val="00F131D9"/>
    <w:rsid w:val="00F15DC5"/>
    <w:rsid w:val="00F21E79"/>
    <w:rsid w:val="00F22838"/>
    <w:rsid w:val="00F25761"/>
    <w:rsid w:val="00F40220"/>
    <w:rsid w:val="00F406AE"/>
    <w:rsid w:val="00F467D0"/>
    <w:rsid w:val="00F52538"/>
    <w:rsid w:val="00F60BAE"/>
    <w:rsid w:val="00F6177D"/>
    <w:rsid w:val="00F61A1B"/>
    <w:rsid w:val="00F626C4"/>
    <w:rsid w:val="00F6541B"/>
    <w:rsid w:val="00F65FEF"/>
    <w:rsid w:val="00F67F88"/>
    <w:rsid w:val="00F76732"/>
    <w:rsid w:val="00F77A18"/>
    <w:rsid w:val="00F80232"/>
    <w:rsid w:val="00F804DC"/>
    <w:rsid w:val="00F81568"/>
    <w:rsid w:val="00F82324"/>
    <w:rsid w:val="00F86B34"/>
    <w:rsid w:val="00F874F4"/>
    <w:rsid w:val="00F919C0"/>
    <w:rsid w:val="00F97356"/>
    <w:rsid w:val="00FA1230"/>
    <w:rsid w:val="00FA4B1A"/>
    <w:rsid w:val="00FA57DB"/>
    <w:rsid w:val="00FA6AC0"/>
    <w:rsid w:val="00FB1CAC"/>
    <w:rsid w:val="00FB7ED7"/>
    <w:rsid w:val="00FD1EB1"/>
    <w:rsid w:val="00FD3922"/>
    <w:rsid w:val="00FE0568"/>
    <w:rsid w:val="00FE1ED6"/>
    <w:rsid w:val="00FE28D5"/>
    <w:rsid w:val="00FE58EA"/>
    <w:rsid w:val="00FE7A14"/>
    <w:rsid w:val="00FF4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466ED"/>
  <w15:docId w15:val="{2255E728-FC93-4AC9-8465-DC40A897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Arial"/>
      <w:color w:val="000000"/>
      <w:sz w:val="24"/>
      <w:szCs w:val="24"/>
    </w:rPr>
  </w:style>
  <w:style w:type="paragraph" w:styleId="Heading1">
    <w:name w:val="heading 1"/>
    <w:basedOn w:val="Normal"/>
    <w:next w:val="Normal"/>
    <w:link w:val="Heading1Char"/>
    <w:qFormat/>
    <w:rsid w:val="007C36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9916A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7D5F"/>
    <w:pPr>
      <w:tabs>
        <w:tab w:val="center" w:pos="4153"/>
        <w:tab w:val="right" w:pos="8306"/>
      </w:tabs>
    </w:pPr>
  </w:style>
  <w:style w:type="character" w:styleId="PageNumber">
    <w:name w:val="page number"/>
    <w:basedOn w:val="DefaultParagraphFont"/>
    <w:rsid w:val="004E7D5F"/>
  </w:style>
  <w:style w:type="character" w:styleId="Hyperlink">
    <w:name w:val="Hyperlink"/>
    <w:rsid w:val="00AD7196"/>
    <w:rPr>
      <w:color w:val="0000FF"/>
      <w:u w:val="single"/>
    </w:rPr>
  </w:style>
  <w:style w:type="paragraph" w:styleId="BalloonText">
    <w:name w:val="Balloon Text"/>
    <w:basedOn w:val="Normal"/>
    <w:semiHidden/>
    <w:rsid w:val="00B33DF1"/>
    <w:rPr>
      <w:rFonts w:ascii="Tahoma" w:hAnsi="Tahoma" w:cs="Tahoma"/>
      <w:sz w:val="16"/>
      <w:szCs w:val="16"/>
    </w:rPr>
  </w:style>
  <w:style w:type="character" w:styleId="CommentReference">
    <w:name w:val="annotation reference"/>
    <w:semiHidden/>
    <w:rsid w:val="00CF21C7"/>
    <w:rPr>
      <w:sz w:val="16"/>
      <w:szCs w:val="16"/>
    </w:rPr>
  </w:style>
  <w:style w:type="paragraph" w:styleId="CommentText">
    <w:name w:val="annotation text"/>
    <w:basedOn w:val="Normal"/>
    <w:link w:val="CommentTextChar"/>
    <w:semiHidden/>
    <w:rsid w:val="00CF21C7"/>
    <w:rPr>
      <w:sz w:val="20"/>
      <w:szCs w:val="20"/>
    </w:rPr>
  </w:style>
  <w:style w:type="paragraph" w:styleId="CommentSubject">
    <w:name w:val="annotation subject"/>
    <w:basedOn w:val="CommentText"/>
    <w:next w:val="CommentText"/>
    <w:semiHidden/>
    <w:rsid w:val="00CF21C7"/>
    <w:rPr>
      <w:b/>
      <w:bCs/>
    </w:rPr>
  </w:style>
  <w:style w:type="paragraph" w:styleId="FootnoteText">
    <w:name w:val="footnote text"/>
    <w:basedOn w:val="Normal"/>
    <w:semiHidden/>
    <w:rsid w:val="00C61C3E"/>
    <w:rPr>
      <w:sz w:val="20"/>
      <w:szCs w:val="20"/>
    </w:rPr>
  </w:style>
  <w:style w:type="character" w:styleId="FootnoteReference">
    <w:name w:val="footnote reference"/>
    <w:semiHidden/>
    <w:rsid w:val="00C61C3E"/>
    <w:rPr>
      <w:vertAlign w:val="superscript"/>
    </w:rPr>
  </w:style>
  <w:style w:type="table" w:styleId="TableGrid">
    <w:name w:val="Table Grid"/>
    <w:basedOn w:val="TableNormal"/>
    <w:rsid w:val="00C24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83B"/>
    <w:pPr>
      <w:ind w:left="720"/>
      <w:contextualSpacing/>
    </w:pPr>
  </w:style>
  <w:style w:type="paragraph" w:styleId="NormalWeb">
    <w:name w:val="Normal (Web)"/>
    <w:basedOn w:val="Normal"/>
    <w:rsid w:val="00482290"/>
    <w:rPr>
      <w:rFonts w:ascii="Times New Roman" w:hAnsi="Times New Roman" w:cs="Times New Roman"/>
    </w:rPr>
  </w:style>
  <w:style w:type="paragraph" w:customStyle="1" w:styleId="Default">
    <w:name w:val="Default"/>
    <w:rsid w:val="00675716"/>
    <w:pPr>
      <w:autoSpaceDE w:val="0"/>
      <w:autoSpaceDN w:val="0"/>
      <w:adjustRightInd w:val="0"/>
    </w:pPr>
    <w:rPr>
      <w:rFonts w:ascii="Webdings" w:hAnsi="Webdings" w:cs="Webdings"/>
      <w:color w:val="000000"/>
      <w:sz w:val="24"/>
      <w:szCs w:val="24"/>
    </w:rPr>
  </w:style>
  <w:style w:type="character" w:styleId="FollowedHyperlink">
    <w:name w:val="FollowedHyperlink"/>
    <w:basedOn w:val="DefaultParagraphFont"/>
    <w:rsid w:val="0036788A"/>
    <w:rPr>
      <w:color w:val="800080" w:themeColor="followedHyperlink"/>
      <w:u w:val="single"/>
    </w:rPr>
  </w:style>
  <w:style w:type="character" w:customStyle="1" w:styleId="CommentTextChar">
    <w:name w:val="Comment Text Char"/>
    <w:basedOn w:val="DefaultParagraphFont"/>
    <w:link w:val="CommentText"/>
    <w:semiHidden/>
    <w:rsid w:val="00F77A18"/>
    <w:rPr>
      <w:rFonts w:ascii="Calibri" w:hAnsi="Calibri" w:cs="Arial"/>
      <w:color w:val="000000"/>
    </w:rPr>
  </w:style>
  <w:style w:type="character" w:customStyle="1" w:styleId="Heading1Char">
    <w:name w:val="Heading 1 Char"/>
    <w:basedOn w:val="DefaultParagraphFont"/>
    <w:link w:val="Heading1"/>
    <w:rsid w:val="007C365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9916A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E34DD"/>
    <w:rPr>
      <w:color w:val="605E5C"/>
      <w:shd w:val="clear" w:color="auto" w:fill="E1DFDD"/>
    </w:rPr>
  </w:style>
  <w:style w:type="paragraph" w:styleId="Header">
    <w:name w:val="header"/>
    <w:basedOn w:val="Normal"/>
    <w:link w:val="HeaderChar"/>
    <w:unhideWhenUsed/>
    <w:rsid w:val="001A2C24"/>
    <w:pPr>
      <w:tabs>
        <w:tab w:val="center" w:pos="4513"/>
        <w:tab w:val="right" w:pos="9026"/>
      </w:tabs>
    </w:pPr>
  </w:style>
  <w:style w:type="character" w:customStyle="1" w:styleId="HeaderChar">
    <w:name w:val="Header Char"/>
    <w:basedOn w:val="DefaultParagraphFont"/>
    <w:link w:val="Header"/>
    <w:rsid w:val="001A2C24"/>
    <w:rPr>
      <w:rFonts w:ascii="Calibri" w:hAnsi="Calibri" w:cs="Arial"/>
      <w:color w:val="000000"/>
      <w:sz w:val="24"/>
      <w:szCs w:val="24"/>
    </w:rPr>
  </w:style>
  <w:style w:type="paragraph" w:styleId="Revision">
    <w:name w:val="Revision"/>
    <w:hidden/>
    <w:uiPriority w:val="99"/>
    <w:semiHidden/>
    <w:rsid w:val="003D0ED0"/>
    <w:rPr>
      <w:rFonts w:ascii="Calibri" w:hAnsi="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7343">
      <w:bodyDiv w:val="1"/>
      <w:marLeft w:val="0"/>
      <w:marRight w:val="0"/>
      <w:marTop w:val="0"/>
      <w:marBottom w:val="0"/>
      <w:divBdr>
        <w:top w:val="none" w:sz="0" w:space="0" w:color="auto"/>
        <w:left w:val="none" w:sz="0" w:space="0" w:color="auto"/>
        <w:bottom w:val="none" w:sz="0" w:space="0" w:color="auto"/>
        <w:right w:val="none" w:sz="0" w:space="0" w:color="auto"/>
      </w:divBdr>
    </w:div>
    <w:div w:id="235283650">
      <w:bodyDiv w:val="1"/>
      <w:marLeft w:val="0"/>
      <w:marRight w:val="0"/>
      <w:marTop w:val="0"/>
      <w:marBottom w:val="0"/>
      <w:divBdr>
        <w:top w:val="none" w:sz="0" w:space="0" w:color="auto"/>
        <w:left w:val="none" w:sz="0" w:space="0" w:color="auto"/>
        <w:bottom w:val="none" w:sz="0" w:space="0" w:color="auto"/>
        <w:right w:val="none" w:sz="0" w:space="0" w:color="auto"/>
      </w:divBdr>
    </w:div>
    <w:div w:id="553392539">
      <w:bodyDiv w:val="1"/>
      <w:marLeft w:val="0"/>
      <w:marRight w:val="0"/>
      <w:marTop w:val="0"/>
      <w:marBottom w:val="0"/>
      <w:divBdr>
        <w:top w:val="none" w:sz="0" w:space="0" w:color="auto"/>
        <w:left w:val="none" w:sz="0" w:space="0" w:color="auto"/>
        <w:bottom w:val="none" w:sz="0" w:space="0" w:color="auto"/>
        <w:right w:val="none" w:sz="0" w:space="0" w:color="auto"/>
      </w:divBdr>
    </w:div>
    <w:div w:id="612326626">
      <w:bodyDiv w:val="1"/>
      <w:marLeft w:val="0"/>
      <w:marRight w:val="0"/>
      <w:marTop w:val="0"/>
      <w:marBottom w:val="0"/>
      <w:divBdr>
        <w:top w:val="none" w:sz="0" w:space="0" w:color="auto"/>
        <w:left w:val="none" w:sz="0" w:space="0" w:color="auto"/>
        <w:bottom w:val="none" w:sz="0" w:space="0" w:color="auto"/>
        <w:right w:val="none" w:sz="0" w:space="0" w:color="auto"/>
      </w:divBdr>
    </w:div>
    <w:div w:id="844131613">
      <w:bodyDiv w:val="1"/>
      <w:marLeft w:val="0"/>
      <w:marRight w:val="0"/>
      <w:marTop w:val="0"/>
      <w:marBottom w:val="0"/>
      <w:divBdr>
        <w:top w:val="none" w:sz="0" w:space="0" w:color="auto"/>
        <w:left w:val="none" w:sz="0" w:space="0" w:color="auto"/>
        <w:bottom w:val="none" w:sz="0" w:space="0" w:color="auto"/>
        <w:right w:val="none" w:sz="0" w:space="0" w:color="auto"/>
      </w:divBdr>
    </w:div>
    <w:div w:id="1121263480">
      <w:bodyDiv w:val="1"/>
      <w:marLeft w:val="0"/>
      <w:marRight w:val="0"/>
      <w:marTop w:val="0"/>
      <w:marBottom w:val="0"/>
      <w:divBdr>
        <w:top w:val="none" w:sz="0" w:space="0" w:color="auto"/>
        <w:left w:val="none" w:sz="0" w:space="0" w:color="auto"/>
        <w:bottom w:val="none" w:sz="0" w:space="0" w:color="auto"/>
        <w:right w:val="none" w:sz="0" w:space="0" w:color="auto"/>
      </w:divBdr>
    </w:div>
    <w:div w:id="1290894984">
      <w:bodyDiv w:val="1"/>
      <w:marLeft w:val="0"/>
      <w:marRight w:val="0"/>
      <w:marTop w:val="0"/>
      <w:marBottom w:val="0"/>
      <w:divBdr>
        <w:top w:val="none" w:sz="0" w:space="0" w:color="auto"/>
        <w:left w:val="none" w:sz="0" w:space="0" w:color="auto"/>
        <w:bottom w:val="none" w:sz="0" w:space="0" w:color="auto"/>
        <w:right w:val="none" w:sz="0" w:space="0" w:color="auto"/>
      </w:divBdr>
    </w:div>
    <w:div w:id="1307008625">
      <w:bodyDiv w:val="1"/>
      <w:marLeft w:val="0"/>
      <w:marRight w:val="0"/>
      <w:marTop w:val="0"/>
      <w:marBottom w:val="0"/>
      <w:divBdr>
        <w:top w:val="none" w:sz="0" w:space="0" w:color="auto"/>
        <w:left w:val="none" w:sz="0" w:space="0" w:color="auto"/>
        <w:bottom w:val="none" w:sz="0" w:space="0" w:color="auto"/>
        <w:right w:val="none" w:sz="0" w:space="0" w:color="auto"/>
      </w:divBdr>
    </w:div>
    <w:div w:id="1560826773">
      <w:bodyDiv w:val="1"/>
      <w:marLeft w:val="0"/>
      <w:marRight w:val="0"/>
      <w:marTop w:val="0"/>
      <w:marBottom w:val="0"/>
      <w:divBdr>
        <w:top w:val="none" w:sz="0" w:space="0" w:color="auto"/>
        <w:left w:val="none" w:sz="0" w:space="0" w:color="auto"/>
        <w:bottom w:val="none" w:sz="0" w:space="0" w:color="auto"/>
        <w:right w:val="none" w:sz="0" w:space="0" w:color="auto"/>
      </w:divBdr>
    </w:div>
    <w:div w:id="1562446384">
      <w:bodyDiv w:val="1"/>
      <w:marLeft w:val="0"/>
      <w:marRight w:val="0"/>
      <w:marTop w:val="0"/>
      <w:marBottom w:val="0"/>
      <w:divBdr>
        <w:top w:val="none" w:sz="0" w:space="0" w:color="auto"/>
        <w:left w:val="none" w:sz="0" w:space="0" w:color="auto"/>
        <w:bottom w:val="none" w:sz="0" w:space="0" w:color="auto"/>
        <w:right w:val="none" w:sz="0" w:space="0" w:color="auto"/>
      </w:divBdr>
    </w:div>
    <w:div w:id="20284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Nicola.Botterill@nuneatonandbedworth.gov.uk" TargetMode="External"/><Relationship Id="rId26" Type="http://schemas.openxmlformats.org/officeDocument/2006/relationships/hyperlink" Target="http://www.myclarionhousing.com" TargetMode="External"/><Relationship Id="rId39" Type="http://schemas.openxmlformats.org/officeDocument/2006/relationships/footer" Target="footer2.xml"/><Relationship Id="rId21" Type="http://schemas.openxmlformats.org/officeDocument/2006/relationships/hyperlink" Target="http://www.warwickdc.gov.uk" TargetMode="External"/><Relationship Id="rId34" Type="http://schemas.openxmlformats.org/officeDocument/2006/relationships/hyperlink" Target="http://www.warwickshirerha.org.u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aulroberts@northwarks.gov.uk" TargetMode="External"/><Relationship Id="rId20" Type="http://schemas.openxmlformats.org/officeDocument/2006/relationships/hyperlink" Target="mailto:Daniel.Khan@rugby.gov.uk" TargetMode="External"/><Relationship Id="rId29" Type="http://schemas.openxmlformats.org/officeDocument/2006/relationships/hyperlink" Target="http://www.midlandheart.org.uk"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nchorhanover.org.uk" TargetMode="External"/><Relationship Id="rId32" Type="http://schemas.openxmlformats.org/officeDocument/2006/relationships/hyperlink" Target="http://www.sanctuary-group.co.uk"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northwarks.gov.uk" TargetMode="External"/><Relationship Id="rId23" Type="http://schemas.openxmlformats.org/officeDocument/2006/relationships/image" Target="media/image5.tmp"/><Relationship Id="rId28" Type="http://schemas.openxmlformats.org/officeDocument/2006/relationships/hyperlink" Target="http://www.housing21.org.uk"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rugby.gov.uk" TargetMode="External"/><Relationship Id="rId31" Type="http://schemas.openxmlformats.org/officeDocument/2006/relationships/hyperlink" Target="http://www.riversid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Sally.kelsall@warwickdc.gov.uk" TargetMode="External"/><Relationship Id="rId27" Type="http://schemas.openxmlformats.org/officeDocument/2006/relationships/hyperlink" Target="http://www.longhurst-group.org.uk" TargetMode="External"/><Relationship Id="rId30" Type="http://schemas.openxmlformats.org/officeDocument/2006/relationships/hyperlink" Target="http://www.pahousing.co.uk" TargetMode="External"/><Relationship Id="rId35" Type="http://schemas.openxmlformats.org/officeDocument/2006/relationships/hyperlink" Target="http://www.citizenhousing.org.uk"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nuneatonandbedworth.gov.uk" TargetMode="External"/><Relationship Id="rId25" Type="http://schemas.openxmlformats.org/officeDocument/2006/relationships/hyperlink" Target="http://www.bromford.co.uk" TargetMode="External"/><Relationship Id="rId33" Type="http://schemas.openxmlformats.org/officeDocument/2006/relationships/hyperlink" Target="http://www.stonewater.org"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36DDD1B30A14F886605119157D567" ma:contentTypeVersion="18" ma:contentTypeDescription="Create a new document." ma:contentTypeScope="" ma:versionID="faa49c08596496a0f6d10c935e1b7d0b">
  <xsd:schema xmlns:xsd="http://www.w3.org/2001/XMLSchema" xmlns:xs="http://www.w3.org/2001/XMLSchema" xmlns:p="http://schemas.microsoft.com/office/2006/metadata/properties" xmlns:ns2="676798ff-6df6-403b-9278-8cd2f93d3612" xmlns:ns3="ab65c526-53a9-4311-8e46-0f87e015e446" targetNamespace="http://schemas.microsoft.com/office/2006/metadata/properties" ma:root="true" ma:fieldsID="ee99e3b0e83883d5be374a206cfad49f" ns2:_="" ns3:_="">
    <xsd:import namespace="676798ff-6df6-403b-9278-8cd2f93d3612"/>
    <xsd:import namespace="ab65c526-53a9-4311-8e46-0f87e015e4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798ff-6df6-403b-9278-8cd2f93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e2137e-0d97-4c97-ad1d-8cd7a40b0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65c526-53a9-4311-8e46-0f87e015e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e424dd-10fc-416e-939c-586ef31f45af}" ma:internalName="TaxCatchAll" ma:showField="CatchAllData" ma:web="ab65c526-53a9-4311-8e46-0f87e015e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798ff-6df6-403b-9278-8cd2f93d3612">
      <Terms xmlns="http://schemas.microsoft.com/office/infopath/2007/PartnerControls"/>
    </lcf76f155ced4ddcb4097134ff3c332f>
    <TaxCatchAll xmlns="ab65c526-53a9-4311-8e46-0f87e015e4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EA76D-C237-4643-9EF6-99500567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798ff-6df6-403b-9278-8cd2f93d3612"/>
    <ds:schemaRef ds:uri="ab65c526-53a9-4311-8e46-0f87e015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A59F4-3602-43B0-BA32-B1432B498367}">
  <ds:schemaRefs>
    <ds:schemaRef ds:uri="http://schemas.openxmlformats.org/officeDocument/2006/bibliography"/>
  </ds:schemaRefs>
</ds:datastoreItem>
</file>

<file path=customXml/itemProps3.xml><?xml version="1.0" encoding="utf-8"?>
<ds:datastoreItem xmlns:ds="http://schemas.openxmlformats.org/officeDocument/2006/customXml" ds:itemID="{26661E26-555F-49DD-AAD4-F62C773F1C9E}">
  <ds:schemaRefs>
    <ds:schemaRef ds:uri="http://schemas.microsoft.com/office/2006/metadata/properties"/>
    <ds:schemaRef ds:uri="http://schemas.microsoft.com/office/infopath/2007/PartnerControls"/>
    <ds:schemaRef ds:uri="676798ff-6df6-403b-9278-8cd2f93d3612"/>
    <ds:schemaRef ds:uri="ab65c526-53a9-4311-8e46-0f87e015e446"/>
  </ds:schemaRefs>
</ds:datastoreItem>
</file>

<file path=customXml/itemProps4.xml><?xml version="1.0" encoding="utf-8"?>
<ds:datastoreItem xmlns:ds="http://schemas.openxmlformats.org/officeDocument/2006/customXml" ds:itemID="{6EAC7860-7D13-4969-B263-097068AA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6259</Words>
  <Characters>35770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Warwickshire Tenancy Strategy</vt:lpstr>
    </vt:vector>
  </TitlesOfParts>
  <Company>North Warks. Borough Council</Company>
  <LinksUpToDate>false</LinksUpToDate>
  <CharactersWithSpaces>41946</CharactersWithSpaces>
  <SharedDoc>false</SharedDoc>
  <HLinks>
    <vt:vector size="150" baseType="variant">
      <vt:variant>
        <vt:i4>2883626</vt:i4>
      </vt:variant>
      <vt:variant>
        <vt:i4>72</vt:i4>
      </vt:variant>
      <vt:variant>
        <vt:i4>0</vt:i4>
      </vt:variant>
      <vt:variant>
        <vt:i4>5</vt:i4>
      </vt:variant>
      <vt:variant>
        <vt:lpwstr>http://www.waterloo.org.uk/</vt:lpwstr>
      </vt:variant>
      <vt:variant>
        <vt:lpwstr/>
      </vt:variant>
      <vt:variant>
        <vt:i4>7798827</vt:i4>
      </vt:variant>
      <vt:variant>
        <vt:i4>69</vt:i4>
      </vt:variant>
      <vt:variant>
        <vt:i4>0</vt:i4>
      </vt:variant>
      <vt:variant>
        <vt:i4>5</vt:i4>
      </vt:variant>
      <vt:variant>
        <vt:lpwstr>http://www.warwickshirerha.org.uk/</vt:lpwstr>
      </vt:variant>
      <vt:variant>
        <vt:lpwstr/>
      </vt:variant>
      <vt:variant>
        <vt:i4>7012412</vt:i4>
      </vt:variant>
      <vt:variant>
        <vt:i4>66</vt:i4>
      </vt:variant>
      <vt:variant>
        <vt:i4>0</vt:i4>
      </vt:variant>
      <vt:variant>
        <vt:i4>5</vt:i4>
      </vt:variant>
      <vt:variant>
        <vt:lpwstr>http://www.viridianhousing.org.uk/</vt:lpwstr>
      </vt:variant>
      <vt:variant>
        <vt:lpwstr/>
      </vt:variant>
      <vt:variant>
        <vt:i4>262219</vt:i4>
      </vt:variant>
      <vt:variant>
        <vt:i4>63</vt:i4>
      </vt:variant>
      <vt:variant>
        <vt:i4>0</vt:i4>
      </vt:variant>
      <vt:variant>
        <vt:i4>5</vt:i4>
      </vt:variant>
      <vt:variant>
        <vt:lpwstr>http://www.sanctuary-group.co.uk/</vt:lpwstr>
      </vt:variant>
      <vt:variant>
        <vt:lpwstr/>
      </vt:variant>
      <vt:variant>
        <vt:i4>196690</vt:i4>
      </vt:variant>
      <vt:variant>
        <vt:i4>60</vt:i4>
      </vt:variant>
      <vt:variant>
        <vt:i4>0</vt:i4>
      </vt:variant>
      <vt:variant>
        <vt:i4>5</vt:i4>
      </vt:variant>
      <vt:variant>
        <vt:lpwstr>http://www.riverside.org.uk/</vt:lpwstr>
      </vt:variant>
      <vt:variant>
        <vt:lpwstr/>
      </vt:variant>
      <vt:variant>
        <vt:i4>2883643</vt:i4>
      </vt:variant>
      <vt:variant>
        <vt:i4>57</vt:i4>
      </vt:variant>
      <vt:variant>
        <vt:i4>0</vt:i4>
      </vt:variant>
      <vt:variant>
        <vt:i4>5</vt:i4>
      </vt:variant>
      <vt:variant>
        <vt:lpwstr>http://www.raglan.org/</vt:lpwstr>
      </vt:variant>
      <vt:variant>
        <vt:lpwstr/>
      </vt:variant>
      <vt:variant>
        <vt:i4>82</vt:i4>
      </vt:variant>
      <vt:variant>
        <vt:i4>54</vt:i4>
      </vt:variant>
      <vt:variant>
        <vt:i4>0</vt:i4>
      </vt:variant>
      <vt:variant>
        <vt:i4>5</vt:i4>
      </vt:variant>
      <vt:variant>
        <vt:lpwstr>http://www.orbit.org.uk/</vt:lpwstr>
      </vt:variant>
      <vt:variant>
        <vt:lpwstr/>
      </vt:variant>
      <vt:variant>
        <vt:i4>2687035</vt:i4>
      </vt:variant>
      <vt:variant>
        <vt:i4>51</vt:i4>
      </vt:variant>
      <vt:variant>
        <vt:i4>0</vt:i4>
      </vt:variant>
      <vt:variant>
        <vt:i4>5</vt:i4>
      </vt:variant>
      <vt:variant>
        <vt:lpwstr>http://www.midlandheart.org.uk/</vt:lpwstr>
      </vt:variant>
      <vt:variant>
        <vt:lpwstr/>
      </vt:variant>
      <vt:variant>
        <vt:i4>6357038</vt:i4>
      </vt:variant>
      <vt:variant>
        <vt:i4>48</vt:i4>
      </vt:variant>
      <vt:variant>
        <vt:i4>0</vt:i4>
      </vt:variant>
      <vt:variant>
        <vt:i4>5</vt:i4>
      </vt:variant>
      <vt:variant>
        <vt:lpwstr>http://www.mercian.org.uk/</vt:lpwstr>
      </vt:variant>
      <vt:variant>
        <vt:lpwstr/>
      </vt:variant>
      <vt:variant>
        <vt:i4>8257579</vt:i4>
      </vt:variant>
      <vt:variant>
        <vt:i4>45</vt:i4>
      </vt:variant>
      <vt:variant>
        <vt:i4>0</vt:i4>
      </vt:variant>
      <vt:variant>
        <vt:i4>5</vt:i4>
      </vt:variant>
      <vt:variant>
        <vt:lpwstr>http://www.jephson.org.uk/</vt:lpwstr>
      </vt:variant>
      <vt:variant>
        <vt:lpwstr/>
      </vt:variant>
      <vt:variant>
        <vt:i4>3080228</vt:i4>
      </vt:variant>
      <vt:variant>
        <vt:i4>42</vt:i4>
      </vt:variant>
      <vt:variant>
        <vt:i4>0</vt:i4>
      </vt:variant>
      <vt:variant>
        <vt:i4>5</vt:i4>
      </vt:variant>
      <vt:variant>
        <vt:lpwstr>http://www.housing21.co.uk/</vt:lpwstr>
      </vt:variant>
      <vt:variant>
        <vt:lpwstr/>
      </vt:variant>
      <vt:variant>
        <vt:i4>4259847</vt:i4>
      </vt:variant>
      <vt:variant>
        <vt:i4>39</vt:i4>
      </vt:variant>
      <vt:variant>
        <vt:i4>0</vt:i4>
      </vt:variant>
      <vt:variant>
        <vt:i4>5</vt:i4>
      </vt:variant>
      <vt:variant>
        <vt:lpwstr>http://www.guinnesshermitage.com/</vt:lpwstr>
      </vt:variant>
      <vt:variant>
        <vt:lpwstr/>
      </vt:variant>
      <vt:variant>
        <vt:i4>7143533</vt:i4>
      </vt:variant>
      <vt:variant>
        <vt:i4>36</vt:i4>
      </vt:variant>
      <vt:variant>
        <vt:i4>0</vt:i4>
      </vt:variant>
      <vt:variant>
        <vt:i4>5</vt:i4>
      </vt:variant>
      <vt:variant>
        <vt:lpwstr>http://www.longhurst-group.org.uk/</vt:lpwstr>
      </vt:variant>
      <vt:variant>
        <vt:lpwstr/>
      </vt:variant>
      <vt:variant>
        <vt:i4>4522009</vt:i4>
      </vt:variant>
      <vt:variant>
        <vt:i4>33</vt:i4>
      </vt:variant>
      <vt:variant>
        <vt:i4>0</vt:i4>
      </vt:variant>
      <vt:variant>
        <vt:i4>5</vt:i4>
      </vt:variant>
      <vt:variant>
        <vt:lpwstr>http://www.derwentliving.com/</vt:lpwstr>
      </vt:variant>
      <vt:variant>
        <vt:lpwstr/>
      </vt:variant>
      <vt:variant>
        <vt:i4>7078007</vt:i4>
      </vt:variant>
      <vt:variant>
        <vt:i4>30</vt:i4>
      </vt:variant>
      <vt:variant>
        <vt:i4>0</vt:i4>
      </vt:variant>
      <vt:variant>
        <vt:i4>5</vt:i4>
      </vt:variant>
      <vt:variant>
        <vt:lpwstr>http://www.bromfordgroup.co.uk/</vt:lpwstr>
      </vt:variant>
      <vt:variant>
        <vt:lpwstr/>
      </vt:variant>
      <vt:variant>
        <vt:i4>2162751</vt:i4>
      </vt:variant>
      <vt:variant>
        <vt:i4>27</vt:i4>
      </vt:variant>
      <vt:variant>
        <vt:i4>0</vt:i4>
      </vt:variant>
      <vt:variant>
        <vt:i4>5</vt:i4>
      </vt:variant>
      <vt:variant>
        <vt:lpwstr>http://www.asra.org.uk/</vt:lpwstr>
      </vt:variant>
      <vt:variant>
        <vt:lpwstr/>
      </vt:variant>
      <vt:variant>
        <vt:i4>3276832</vt:i4>
      </vt:variant>
      <vt:variant>
        <vt:i4>24</vt:i4>
      </vt:variant>
      <vt:variant>
        <vt:i4>0</vt:i4>
      </vt:variant>
      <vt:variant>
        <vt:i4>5</vt:i4>
      </vt:variant>
      <vt:variant>
        <vt:lpwstr>http://www.ashramha.org.uk/</vt:lpwstr>
      </vt:variant>
      <vt:variant>
        <vt:lpwstr/>
      </vt:variant>
      <vt:variant>
        <vt:i4>6226009</vt:i4>
      </vt:variant>
      <vt:variant>
        <vt:i4>21</vt:i4>
      </vt:variant>
      <vt:variant>
        <vt:i4>0</vt:i4>
      </vt:variant>
      <vt:variant>
        <vt:i4>5</vt:i4>
      </vt:variant>
      <vt:variant>
        <vt:lpwstr>http://www.anchor.org.uk/</vt:lpwstr>
      </vt:variant>
      <vt:variant>
        <vt:lpwstr/>
      </vt:variant>
      <vt:variant>
        <vt:i4>3145774</vt:i4>
      </vt:variant>
      <vt:variant>
        <vt:i4>18</vt:i4>
      </vt:variant>
      <vt:variant>
        <vt:i4>0</vt:i4>
      </vt:variant>
      <vt:variant>
        <vt:i4>5</vt:i4>
      </vt:variant>
      <vt:variant>
        <vt:lpwstr>http://www.affinitysutton.com/</vt:lpwstr>
      </vt:variant>
      <vt:variant>
        <vt:lpwstr/>
      </vt:variant>
      <vt:variant>
        <vt:i4>2031651</vt:i4>
      </vt:variant>
      <vt:variant>
        <vt:i4>15</vt:i4>
      </vt:variant>
      <vt:variant>
        <vt:i4>0</vt:i4>
      </vt:variant>
      <vt:variant>
        <vt:i4>5</vt:i4>
      </vt:variant>
      <vt:variant>
        <vt:lpwstr>mailto:Ken.bruno@warwickdc.gov.uk</vt:lpwstr>
      </vt:variant>
      <vt:variant>
        <vt:lpwstr/>
      </vt:variant>
      <vt:variant>
        <vt:i4>786499</vt:i4>
      </vt:variant>
      <vt:variant>
        <vt:i4>12</vt:i4>
      </vt:variant>
      <vt:variant>
        <vt:i4>0</vt:i4>
      </vt:variant>
      <vt:variant>
        <vt:i4>5</vt:i4>
      </vt:variant>
      <vt:variant>
        <vt:lpwstr>http://www.rugby.gov.uk/</vt:lpwstr>
      </vt:variant>
      <vt:variant>
        <vt:lpwstr/>
      </vt:variant>
      <vt:variant>
        <vt:i4>7667792</vt:i4>
      </vt:variant>
      <vt:variant>
        <vt:i4>9</vt:i4>
      </vt:variant>
      <vt:variant>
        <vt:i4>0</vt:i4>
      </vt:variant>
      <vt:variant>
        <vt:i4>5</vt:i4>
      </vt:variant>
      <vt:variant>
        <vt:lpwstr>mailto:michelle.dickson@rugby.gov.uk</vt:lpwstr>
      </vt:variant>
      <vt:variant>
        <vt:lpwstr/>
      </vt:variant>
      <vt:variant>
        <vt:i4>6488109</vt:i4>
      </vt:variant>
      <vt:variant>
        <vt:i4>6</vt:i4>
      </vt:variant>
      <vt:variant>
        <vt:i4>0</vt:i4>
      </vt:variant>
      <vt:variant>
        <vt:i4>5</vt:i4>
      </vt:variant>
      <vt:variant>
        <vt:lpwstr>http://www.nuneatonandbedworth.gov.uk/</vt:lpwstr>
      </vt:variant>
      <vt:variant>
        <vt:lpwstr/>
      </vt:variant>
      <vt:variant>
        <vt:i4>8323159</vt:i4>
      </vt:variant>
      <vt:variant>
        <vt:i4>3</vt:i4>
      </vt:variant>
      <vt:variant>
        <vt:i4>0</vt:i4>
      </vt:variant>
      <vt:variant>
        <vt:i4>5</vt:i4>
      </vt:variant>
      <vt:variant>
        <vt:lpwstr>mailto:jane.beard@nuneatonandbedworth.org.uk</vt:lpwstr>
      </vt:variant>
      <vt:variant>
        <vt:lpwstr/>
      </vt:variant>
      <vt:variant>
        <vt:i4>786544</vt:i4>
      </vt:variant>
      <vt:variant>
        <vt:i4>0</vt:i4>
      </vt:variant>
      <vt:variant>
        <vt:i4>0</vt:i4>
      </vt:variant>
      <vt:variant>
        <vt:i4>5</vt:i4>
      </vt:variant>
      <vt:variant>
        <vt:lpwstr>mailto:paulroberts@northwarks.gov.uk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Tenancy Strategy</dc:title>
  <dc:subject/>
  <dc:creator>proberts</dc:creator>
  <cp:keywords/>
  <cp:lastModifiedBy>Sally Kelsall</cp:lastModifiedBy>
  <cp:revision>3</cp:revision>
  <cp:lastPrinted>2021-03-01T11:08:00Z</cp:lastPrinted>
  <dcterms:created xsi:type="dcterms:W3CDTF">2025-03-02T14:02:00Z</dcterms:created>
  <dcterms:modified xsi:type="dcterms:W3CDTF">2025-03-02T14:03:00Z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2024-01-18T10:24:58Z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0975edff-f127-4ef6-8bc2-67dac8e8e14c</vt:lpwstr>
  </property>
  <property fmtid="{D5CDD505-2E9C-101B-9397-08002B2CF9AE}" pid="8" name="MSIP_Label_c6f64b5a-70e3-4d13-98dc-9c006fabbb8e_ContentBits">
    <vt:lpwstr>0</vt:lpwstr>
  </property>
  <property fmtid="{D5CDD505-2E9C-101B-9397-08002B2CF9AE}" pid="9" name="ContentTypeId">
    <vt:lpwstr>0x010100BB136DDD1B30A14F886605119157D567</vt:lpwstr>
  </property>
  <property fmtid="{D5CDD505-2E9C-101B-9397-08002B2CF9AE}" pid="10" name="MediaServiceImageTags">
    <vt:lpwstr/>
  </property>
</Properties>
</file>